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gitter"/>
        <w:tblW w:w="9640" w:type="dxa"/>
        <w:tblInd w:w="-601" w:type="dxa"/>
        <w:tblLook w:val="04A0" w:firstRow="1" w:lastRow="0" w:firstColumn="1" w:lastColumn="0" w:noHBand="0" w:noVBand="1"/>
      </w:tblPr>
      <w:tblGrid>
        <w:gridCol w:w="4859"/>
        <w:gridCol w:w="4781"/>
      </w:tblGrid>
      <w:tr w:rsidR="00D06CE6" w14:paraId="78FCD12C" w14:textId="77777777" w:rsidTr="00D06CE6">
        <w:tc>
          <w:tcPr>
            <w:tcW w:w="4859" w:type="dxa"/>
          </w:tcPr>
          <w:p w14:paraId="57A1CF14" w14:textId="77777777" w:rsidR="00D06CE6" w:rsidRPr="00D06CE6" w:rsidRDefault="00D06CE6">
            <w:pPr>
              <w:rPr>
                <w:rFonts w:ascii="Arial" w:hAnsi="Arial"/>
                <w:b/>
                <w:sz w:val="22"/>
              </w:rPr>
            </w:pPr>
            <w:r w:rsidRPr="00D06CE6">
              <w:rPr>
                <w:rFonts w:ascii="Arial" w:hAnsi="Arial"/>
                <w:b/>
                <w:sz w:val="22"/>
              </w:rPr>
              <w:t xml:space="preserve">Fag: </w:t>
            </w:r>
          </w:p>
          <w:p w14:paraId="75922940" w14:textId="77777777" w:rsidR="00D06CE6" w:rsidRPr="00D06CE6" w:rsidRDefault="00D06CE6">
            <w:pPr>
              <w:rPr>
                <w:rFonts w:ascii="Arial" w:hAnsi="Arial"/>
                <w:b/>
                <w:sz w:val="22"/>
              </w:rPr>
            </w:pPr>
            <w:r w:rsidRPr="00D06CE6">
              <w:rPr>
                <w:rFonts w:ascii="Arial" w:hAnsi="Arial"/>
                <w:b/>
                <w:sz w:val="22"/>
              </w:rPr>
              <w:t>Farmakologi</w:t>
            </w:r>
          </w:p>
          <w:p w14:paraId="0345672D" w14:textId="77777777" w:rsidR="00D06CE6" w:rsidRPr="00D06CE6" w:rsidRDefault="00D06CE6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4781" w:type="dxa"/>
          </w:tcPr>
          <w:p w14:paraId="1893E49E" w14:textId="77777777" w:rsidR="00D06CE6" w:rsidRPr="00D06CE6" w:rsidRDefault="00D06CE6">
            <w:pPr>
              <w:rPr>
                <w:rFonts w:ascii="Arial" w:hAnsi="Arial"/>
                <w:b/>
                <w:sz w:val="22"/>
              </w:rPr>
            </w:pPr>
            <w:r w:rsidRPr="00D06CE6">
              <w:rPr>
                <w:rFonts w:ascii="Arial" w:hAnsi="Arial"/>
                <w:b/>
                <w:sz w:val="22"/>
              </w:rPr>
              <w:t>År:</w:t>
            </w:r>
          </w:p>
          <w:p w14:paraId="7CB64EE0" w14:textId="77777777" w:rsidR="00D06CE6" w:rsidRPr="00D06CE6" w:rsidRDefault="00D06CE6">
            <w:pPr>
              <w:rPr>
                <w:rFonts w:ascii="Arial" w:hAnsi="Arial"/>
                <w:sz w:val="22"/>
              </w:rPr>
            </w:pPr>
            <w:r w:rsidRPr="00D06CE6">
              <w:rPr>
                <w:rFonts w:ascii="Arial" w:hAnsi="Arial"/>
                <w:sz w:val="22"/>
              </w:rPr>
              <w:t>2015</w:t>
            </w:r>
          </w:p>
        </w:tc>
      </w:tr>
      <w:tr w:rsidR="00D06CE6" w14:paraId="3CE694BC" w14:textId="77777777" w:rsidTr="00D06CE6">
        <w:tc>
          <w:tcPr>
            <w:tcW w:w="4859" w:type="dxa"/>
          </w:tcPr>
          <w:p w14:paraId="15F1711C" w14:textId="77777777" w:rsidR="00D06CE6" w:rsidRPr="00D06CE6" w:rsidRDefault="00D06CE6">
            <w:pPr>
              <w:rPr>
                <w:rFonts w:ascii="Arial" w:hAnsi="Arial"/>
                <w:b/>
                <w:sz w:val="22"/>
              </w:rPr>
            </w:pPr>
            <w:r w:rsidRPr="00D06CE6">
              <w:rPr>
                <w:rFonts w:ascii="Arial" w:hAnsi="Arial"/>
                <w:b/>
                <w:sz w:val="22"/>
              </w:rPr>
              <w:t>Emne</w:t>
            </w:r>
          </w:p>
        </w:tc>
        <w:tc>
          <w:tcPr>
            <w:tcW w:w="4781" w:type="dxa"/>
          </w:tcPr>
          <w:p w14:paraId="6A8CF6D7" w14:textId="77777777" w:rsidR="00D06CE6" w:rsidRPr="00D06CE6" w:rsidRDefault="00D06CE6">
            <w:pPr>
              <w:rPr>
                <w:rFonts w:ascii="Arial" w:hAnsi="Arial"/>
                <w:b/>
                <w:sz w:val="22"/>
              </w:rPr>
            </w:pPr>
            <w:r w:rsidRPr="00D06CE6">
              <w:rPr>
                <w:rFonts w:ascii="Arial" w:hAnsi="Arial"/>
                <w:b/>
                <w:sz w:val="22"/>
              </w:rPr>
              <w:t>Note</w:t>
            </w:r>
          </w:p>
        </w:tc>
      </w:tr>
      <w:tr w:rsidR="00591201" w14:paraId="6346B90D" w14:textId="77777777" w:rsidTr="00D06CE6">
        <w:tc>
          <w:tcPr>
            <w:tcW w:w="4859" w:type="dxa"/>
          </w:tcPr>
          <w:p w14:paraId="2B3609A8" w14:textId="2287C321" w:rsidR="00591201" w:rsidRDefault="00591201">
            <w:pPr>
              <w:rPr>
                <w:rFonts w:ascii="Arial" w:hAnsi="Arial"/>
                <w:b/>
                <w:sz w:val="22"/>
              </w:rPr>
            </w:pPr>
          </w:p>
          <w:p w14:paraId="531D3504" w14:textId="77777777" w:rsidR="00591201" w:rsidRDefault="00591201">
            <w:pPr>
              <w:rPr>
                <w:rFonts w:ascii="Arial" w:hAnsi="Arial"/>
                <w:b/>
                <w:u w:val="single"/>
              </w:rPr>
            </w:pPr>
            <w:proofErr w:type="spellStart"/>
            <w:r>
              <w:rPr>
                <w:rFonts w:ascii="Arial" w:hAnsi="Arial"/>
                <w:b/>
                <w:u w:val="single"/>
              </w:rPr>
              <w:t>Psykofarmakologi</w:t>
            </w:r>
            <w:proofErr w:type="spellEnd"/>
            <w:r>
              <w:rPr>
                <w:rFonts w:ascii="Arial" w:hAnsi="Arial"/>
                <w:b/>
                <w:u w:val="single"/>
              </w:rPr>
              <w:t>:</w:t>
            </w:r>
          </w:p>
          <w:p w14:paraId="4D559950" w14:textId="77777777" w:rsidR="00591201" w:rsidRDefault="00591201">
            <w:pPr>
              <w:rPr>
                <w:rFonts w:ascii="Arial" w:hAnsi="Arial"/>
              </w:rPr>
            </w:pPr>
          </w:p>
          <w:p w14:paraId="62223F64" w14:textId="77777777" w:rsidR="00B53186" w:rsidRDefault="00B53186">
            <w:pPr>
              <w:rPr>
                <w:rFonts w:ascii="Arial" w:hAnsi="Arial"/>
                <w:b/>
                <w:sz w:val="22"/>
              </w:rPr>
            </w:pPr>
          </w:p>
          <w:p w14:paraId="56E6C84D" w14:textId="77777777" w:rsidR="00B53186" w:rsidRDefault="00B53186">
            <w:pPr>
              <w:rPr>
                <w:rFonts w:ascii="Arial" w:hAnsi="Arial"/>
                <w:b/>
                <w:sz w:val="22"/>
              </w:rPr>
            </w:pPr>
          </w:p>
          <w:p w14:paraId="6E9F1E2B" w14:textId="77777777" w:rsidR="00B53186" w:rsidRDefault="00B53186">
            <w:pPr>
              <w:rPr>
                <w:rFonts w:ascii="Arial" w:hAnsi="Arial"/>
                <w:b/>
                <w:sz w:val="22"/>
              </w:rPr>
            </w:pPr>
          </w:p>
          <w:p w14:paraId="69553C8C" w14:textId="77777777" w:rsidR="00B53186" w:rsidRDefault="00B53186">
            <w:pPr>
              <w:rPr>
                <w:rFonts w:ascii="Arial" w:hAnsi="Arial"/>
                <w:b/>
                <w:sz w:val="22"/>
              </w:rPr>
            </w:pPr>
          </w:p>
          <w:p w14:paraId="7422D7B1" w14:textId="77777777" w:rsidR="00D06780" w:rsidRDefault="00D06780">
            <w:pPr>
              <w:rPr>
                <w:rFonts w:ascii="Arial" w:hAnsi="Arial"/>
                <w:b/>
                <w:sz w:val="22"/>
              </w:rPr>
            </w:pPr>
          </w:p>
          <w:p w14:paraId="77B9973C" w14:textId="77777777" w:rsidR="00D06780" w:rsidRDefault="00D06780">
            <w:pPr>
              <w:rPr>
                <w:rFonts w:ascii="Arial" w:hAnsi="Arial"/>
                <w:b/>
                <w:sz w:val="22"/>
              </w:rPr>
            </w:pPr>
          </w:p>
          <w:p w14:paraId="0600BA7A" w14:textId="77777777" w:rsidR="00B53186" w:rsidRDefault="00B53186">
            <w:pPr>
              <w:rPr>
                <w:rFonts w:ascii="Arial" w:hAnsi="Arial"/>
                <w:b/>
                <w:sz w:val="22"/>
              </w:rPr>
            </w:pPr>
          </w:p>
          <w:p w14:paraId="5F1340F0" w14:textId="61C82605" w:rsidR="00591201" w:rsidRDefault="00F3423C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Psykofarma</w:t>
            </w:r>
            <w:r w:rsidR="000E339C">
              <w:rPr>
                <w:rFonts w:ascii="Arial" w:hAnsi="Arial"/>
                <w:b/>
                <w:sz w:val="22"/>
              </w:rPr>
              <w:t>kas</w:t>
            </w:r>
            <w:r w:rsidR="00591201" w:rsidRPr="00591201">
              <w:rPr>
                <w:rFonts w:ascii="Arial" w:hAnsi="Arial"/>
                <w:b/>
                <w:sz w:val="22"/>
              </w:rPr>
              <w:t xml:space="preserve"> </w:t>
            </w:r>
            <w:r w:rsidR="00D22604">
              <w:rPr>
                <w:rFonts w:ascii="Arial" w:hAnsi="Arial"/>
                <w:b/>
                <w:sz w:val="22"/>
              </w:rPr>
              <w:t>virkningsmekanisme</w:t>
            </w:r>
            <w:r w:rsidR="00591201" w:rsidRPr="00591201">
              <w:rPr>
                <w:rFonts w:ascii="Arial" w:hAnsi="Arial"/>
                <w:b/>
                <w:sz w:val="22"/>
              </w:rPr>
              <w:t>:</w:t>
            </w:r>
          </w:p>
          <w:p w14:paraId="00AF20D7" w14:textId="77777777" w:rsidR="00954D86" w:rsidRDefault="00954D86">
            <w:pPr>
              <w:rPr>
                <w:rFonts w:ascii="Arial" w:hAnsi="Arial"/>
                <w:b/>
                <w:sz w:val="22"/>
              </w:rPr>
            </w:pPr>
          </w:p>
          <w:p w14:paraId="598B8FED" w14:textId="77777777" w:rsidR="00954D86" w:rsidRDefault="00954D86">
            <w:pPr>
              <w:rPr>
                <w:rFonts w:ascii="Arial" w:hAnsi="Arial"/>
                <w:b/>
                <w:sz w:val="22"/>
              </w:rPr>
            </w:pPr>
          </w:p>
          <w:p w14:paraId="5A1D5D4D" w14:textId="77777777" w:rsidR="00954D86" w:rsidRDefault="00954D86">
            <w:pPr>
              <w:rPr>
                <w:rFonts w:ascii="Arial" w:hAnsi="Arial"/>
                <w:b/>
                <w:sz w:val="22"/>
              </w:rPr>
            </w:pPr>
          </w:p>
          <w:p w14:paraId="33912EFC" w14:textId="77777777" w:rsidR="00954D86" w:rsidRDefault="00954D86">
            <w:pPr>
              <w:rPr>
                <w:rFonts w:ascii="Arial" w:hAnsi="Arial"/>
                <w:b/>
                <w:sz w:val="22"/>
              </w:rPr>
            </w:pPr>
          </w:p>
          <w:p w14:paraId="63C4557B" w14:textId="77777777" w:rsidR="00954D86" w:rsidRDefault="00954D86">
            <w:pPr>
              <w:rPr>
                <w:rFonts w:ascii="Arial" w:hAnsi="Arial"/>
                <w:b/>
                <w:sz w:val="22"/>
              </w:rPr>
            </w:pPr>
          </w:p>
          <w:p w14:paraId="7E104B03" w14:textId="77777777" w:rsidR="00954D86" w:rsidRDefault="00954D86">
            <w:pPr>
              <w:rPr>
                <w:rFonts w:ascii="Arial" w:hAnsi="Arial"/>
                <w:b/>
                <w:sz w:val="22"/>
              </w:rPr>
            </w:pPr>
          </w:p>
          <w:p w14:paraId="521AB18B" w14:textId="6543D457" w:rsidR="00954D86" w:rsidRDefault="00954D86">
            <w:pPr>
              <w:rPr>
                <w:rFonts w:ascii="Arial" w:hAnsi="Arial"/>
                <w:b/>
                <w:sz w:val="22"/>
              </w:rPr>
            </w:pPr>
          </w:p>
          <w:p w14:paraId="7635EF16" w14:textId="77777777" w:rsidR="00954D86" w:rsidRDefault="00954D86">
            <w:pPr>
              <w:rPr>
                <w:rFonts w:ascii="Arial" w:hAnsi="Arial"/>
                <w:b/>
                <w:sz w:val="22"/>
              </w:rPr>
            </w:pPr>
          </w:p>
          <w:p w14:paraId="6519FA49" w14:textId="77777777" w:rsidR="00954D86" w:rsidRDefault="00954D86">
            <w:pPr>
              <w:rPr>
                <w:rFonts w:ascii="Arial" w:hAnsi="Arial"/>
                <w:b/>
                <w:sz w:val="22"/>
              </w:rPr>
            </w:pPr>
          </w:p>
          <w:p w14:paraId="09252448" w14:textId="679E52BE" w:rsidR="00954D86" w:rsidRPr="00591201" w:rsidRDefault="00954D86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Klassifikation af psykofarmaka: </w:t>
            </w:r>
          </w:p>
        </w:tc>
        <w:tc>
          <w:tcPr>
            <w:tcW w:w="4781" w:type="dxa"/>
          </w:tcPr>
          <w:p w14:paraId="6E943226" w14:textId="77777777" w:rsidR="00591201" w:rsidRDefault="00591201">
            <w:pPr>
              <w:rPr>
                <w:rFonts w:ascii="Arial" w:hAnsi="Arial"/>
                <w:b/>
                <w:sz w:val="22"/>
              </w:rPr>
            </w:pPr>
          </w:p>
          <w:p w14:paraId="4654DB55" w14:textId="0416A775" w:rsidR="00591201" w:rsidRPr="00B53186" w:rsidRDefault="00B5318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Psykofarmaka bør som regel kombineres med psykoterapeutisk behandling. For høj dosering af </w:t>
            </w:r>
            <w:proofErr w:type="spellStart"/>
            <w:r>
              <w:rPr>
                <w:rFonts w:ascii="Arial" w:hAnsi="Arial"/>
                <w:sz w:val="22"/>
              </w:rPr>
              <w:t>farmaka</w:t>
            </w:r>
            <w:proofErr w:type="spellEnd"/>
            <w:r>
              <w:rPr>
                <w:rFonts w:ascii="Arial" w:hAnsi="Arial"/>
                <w:sz w:val="22"/>
              </w:rPr>
              <w:t xml:space="preserve"> med </w:t>
            </w:r>
            <w:proofErr w:type="spellStart"/>
            <w:r>
              <w:rPr>
                <w:rFonts w:ascii="Arial" w:hAnsi="Arial"/>
                <w:sz w:val="22"/>
              </w:rPr>
              <w:t>sederende</w:t>
            </w:r>
            <w:proofErr w:type="spellEnd"/>
            <w:r>
              <w:rPr>
                <w:rFonts w:ascii="Arial" w:hAnsi="Arial"/>
                <w:sz w:val="22"/>
              </w:rPr>
              <w:t xml:space="preserve"> effekt kan dog nedsætte patientens motivation og evne til at drage fordel af den psykoterapeutiske behandling.</w:t>
            </w:r>
            <w:r w:rsidR="00D06780">
              <w:rPr>
                <w:rFonts w:ascii="Arial" w:hAnsi="Arial"/>
                <w:sz w:val="22"/>
              </w:rPr>
              <w:t xml:space="preserve"> Psykofarmaka udskrives dobbelt så ofte til kvinder som til mænd og med stigende hyppighed med alderen.</w:t>
            </w:r>
          </w:p>
          <w:p w14:paraId="406F2BB6" w14:textId="77777777" w:rsidR="00591201" w:rsidRDefault="00591201">
            <w:pPr>
              <w:rPr>
                <w:rFonts w:ascii="Arial" w:hAnsi="Arial"/>
                <w:b/>
                <w:sz w:val="22"/>
              </w:rPr>
            </w:pPr>
          </w:p>
          <w:p w14:paraId="094FE9B3" w14:textId="77777777" w:rsidR="00591201" w:rsidRDefault="00591201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Det antages at påvirkning af den </w:t>
            </w:r>
            <w:proofErr w:type="spellStart"/>
            <w:r>
              <w:rPr>
                <w:rFonts w:ascii="Arial" w:hAnsi="Arial"/>
                <w:sz w:val="22"/>
              </w:rPr>
              <w:t>synaptiske</w:t>
            </w:r>
            <w:proofErr w:type="spellEnd"/>
            <w:r>
              <w:rPr>
                <w:rFonts w:ascii="Arial" w:hAnsi="Arial"/>
                <w:sz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</w:rPr>
              <w:t>neurotransmission</w:t>
            </w:r>
            <w:proofErr w:type="spellEnd"/>
            <w:r>
              <w:rPr>
                <w:rFonts w:ascii="Arial" w:hAnsi="Arial"/>
                <w:sz w:val="22"/>
              </w:rPr>
              <w:t xml:space="preserve"> gennem indvirkning på transport- eller receptormolekyler spiller en af de væsentligste rolle i måden hvorfor psykofarmaka virker. </w:t>
            </w:r>
            <w:r w:rsidR="00295C5C">
              <w:rPr>
                <w:rFonts w:ascii="Arial" w:hAnsi="Arial"/>
                <w:sz w:val="22"/>
              </w:rPr>
              <w:t xml:space="preserve">Nyere psykofarmaka, er mere specifikt virkende lægemidler, hvorfor disse primært påvirker et enkelt </w:t>
            </w:r>
            <w:proofErr w:type="spellStart"/>
            <w:r w:rsidR="00295C5C">
              <w:rPr>
                <w:rFonts w:ascii="Arial" w:hAnsi="Arial"/>
                <w:sz w:val="22"/>
              </w:rPr>
              <w:t>neurotransmittersystem</w:t>
            </w:r>
            <w:proofErr w:type="spellEnd"/>
            <w:r w:rsidR="00D22604">
              <w:rPr>
                <w:rFonts w:ascii="Arial" w:hAnsi="Arial"/>
                <w:sz w:val="22"/>
              </w:rPr>
              <w:t xml:space="preserve"> – det gælder både </w:t>
            </w:r>
            <w:proofErr w:type="spellStart"/>
            <w:r w:rsidR="00D22604">
              <w:rPr>
                <w:rFonts w:ascii="Arial" w:hAnsi="Arial"/>
                <w:sz w:val="22"/>
              </w:rPr>
              <w:t>antidepressiva</w:t>
            </w:r>
            <w:proofErr w:type="spellEnd"/>
            <w:r w:rsidR="00D22604">
              <w:rPr>
                <w:rFonts w:ascii="Arial" w:hAnsi="Arial"/>
                <w:sz w:val="22"/>
              </w:rPr>
              <w:t xml:space="preserve"> og </w:t>
            </w:r>
            <w:proofErr w:type="spellStart"/>
            <w:r w:rsidR="00D22604">
              <w:rPr>
                <w:rFonts w:ascii="Arial" w:hAnsi="Arial"/>
                <w:sz w:val="22"/>
              </w:rPr>
              <w:t>antipsykotika</w:t>
            </w:r>
            <w:proofErr w:type="spellEnd"/>
            <w:r w:rsidR="00D22604">
              <w:rPr>
                <w:rFonts w:ascii="Arial" w:hAnsi="Arial"/>
                <w:sz w:val="22"/>
              </w:rPr>
              <w:t xml:space="preserve">. </w:t>
            </w:r>
          </w:p>
          <w:p w14:paraId="59C52642" w14:textId="77777777" w:rsidR="004136BC" w:rsidRDefault="004136BC">
            <w:pPr>
              <w:rPr>
                <w:rFonts w:ascii="Arial" w:hAnsi="Arial"/>
                <w:sz w:val="22"/>
              </w:rPr>
            </w:pPr>
          </w:p>
          <w:p w14:paraId="66AD14AF" w14:textId="12D6DDE0" w:rsidR="00117960" w:rsidRDefault="00117960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  <w:u w:val="single"/>
              </w:rPr>
              <w:t>Antidepressiva</w:t>
            </w:r>
            <w:proofErr w:type="spellEnd"/>
            <w:r>
              <w:rPr>
                <w:rFonts w:ascii="Arial" w:hAnsi="Arial"/>
                <w:sz w:val="22"/>
                <w:u w:val="single"/>
              </w:rPr>
              <w:t xml:space="preserve">: </w:t>
            </w:r>
            <w:r>
              <w:rPr>
                <w:rFonts w:ascii="Arial" w:hAnsi="Arial"/>
                <w:sz w:val="22"/>
              </w:rPr>
              <w:t xml:space="preserve">Blev tidligere kun anvendt til behandling af depression, men anvendes i dag ved en række angsttilstande: </w:t>
            </w:r>
          </w:p>
          <w:p w14:paraId="580A8ADA" w14:textId="7DE6F293" w:rsidR="00117960" w:rsidRPr="00117960" w:rsidRDefault="00117960" w:rsidP="00117960">
            <w:pPr>
              <w:pStyle w:val="Listeafsnit"/>
              <w:numPr>
                <w:ilvl w:val="0"/>
                <w:numId w:val="13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Genera</w:t>
            </w:r>
            <w:r w:rsidRPr="00117960">
              <w:rPr>
                <w:rFonts w:ascii="Arial" w:hAnsi="Arial"/>
                <w:sz w:val="22"/>
              </w:rPr>
              <w:t>liseret angst</w:t>
            </w:r>
          </w:p>
          <w:p w14:paraId="6BF5C8BF" w14:textId="77777777" w:rsidR="00117960" w:rsidRDefault="00117960" w:rsidP="00117960">
            <w:pPr>
              <w:pStyle w:val="Listeafsnit"/>
              <w:numPr>
                <w:ilvl w:val="0"/>
                <w:numId w:val="13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Panik angst</w:t>
            </w:r>
          </w:p>
          <w:p w14:paraId="61680A6F" w14:textId="77777777" w:rsidR="00117960" w:rsidRDefault="00117960" w:rsidP="00117960">
            <w:pPr>
              <w:pStyle w:val="Listeafsnit"/>
              <w:numPr>
                <w:ilvl w:val="0"/>
                <w:numId w:val="13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Fobier</w:t>
            </w:r>
          </w:p>
          <w:p w14:paraId="15402310" w14:textId="77777777" w:rsidR="00117960" w:rsidRDefault="00117960" w:rsidP="00117960">
            <w:pPr>
              <w:pStyle w:val="Listeafsnit"/>
              <w:numPr>
                <w:ilvl w:val="0"/>
                <w:numId w:val="13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Akut belastnings stress</w:t>
            </w:r>
          </w:p>
          <w:p w14:paraId="540C3216" w14:textId="2591C730" w:rsidR="00117960" w:rsidRDefault="00117960" w:rsidP="00117960">
            <w:pPr>
              <w:pStyle w:val="Listeafsnit"/>
              <w:numPr>
                <w:ilvl w:val="0"/>
                <w:numId w:val="13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Posttraumatisk stress syndrom</w:t>
            </w:r>
          </w:p>
          <w:p w14:paraId="014F24C8" w14:textId="77777777" w:rsidR="007D36B2" w:rsidRDefault="007D36B2" w:rsidP="007D36B2">
            <w:pPr>
              <w:rPr>
                <w:rFonts w:ascii="Arial" w:hAnsi="Arial"/>
                <w:sz w:val="22"/>
              </w:rPr>
            </w:pPr>
          </w:p>
          <w:p w14:paraId="25DFE0AA" w14:textId="49A7411A" w:rsidR="007D36B2" w:rsidRPr="007D36B2" w:rsidRDefault="007D36B2" w:rsidP="007D36B2">
            <w:pPr>
              <w:rPr>
                <w:rFonts w:ascii="Arial" w:hAnsi="Arial"/>
                <w:sz w:val="22"/>
              </w:rPr>
            </w:pPr>
            <w:r w:rsidRPr="005D468E">
              <w:rPr>
                <w:rFonts w:ascii="Arial" w:hAnsi="Arial"/>
                <w:sz w:val="22"/>
                <w:u w:val="single"/>
              </w:rPr>
              <w:t>Stem</w:t>
            </w:r>
            <w:r w:rsidR="002E4661">
              <w:rPr>
                <w:rFonts w:ascii="Arial" w:hAnsi="Arial"/>
                <w:sz w:val="22"/>
                <w:u w:val="single"/>
              </w:rPr>
              <w:t>n</w:t>
            </w:r>
            <w:r w:rsidRPr="005D468E">
              <w:rPr>
                <w:rFonts w:ascii="Arial" w:hAnsi="Arial"/>
                <w:sz w:val="22"/>
                <w:u w:val="single"/>
              </w:rPr>
              <w:t xml:space="preserve">ingsstabiliserende </w:t>
            </w:r>
            <w:proofErr w:type="spellStart"/>
            <w:r w:rsidRPr="005D468E">
              <w:rPr>
                <w:rFonts w:ascii="Arial" w:hAnsi="Arial"/>
                <w:sz w:val="22"/>
                <w:u w:val="single"/>
              </w:rPr>
              <w:t>farmaka</w:t>
            </w:r>
            <w:proofErr w:type="spellEnd"/>
            <w:r w:rsidRPr="005D468E">
              <w:rPr>
                <w:rFonts w:ascii="Arial" w:hAnsi="Arial"/>
                <w:sz w:val="22"/>
                <w:u w:val="single"/>
              </w:rPr>
              <w:t>:</w:t>
            </w:r>
            <w:r>
              <w:rPr>
                <w:rFonts w:ascii="Arial" w:hAnsi="Arial"/>
                <w:sz w:val="22"/>
              </w:rPr>
              <w:t xml:space="preserve"> Benyttes til forebyggelse af </w:t>
            </w:r>
            <w:r w:rsidR="005D468E">
              <w:rPr>
                <w:rFonts w:ascii="Arial" w:hAnsi="Arial"/>
                <w:sz w:val="22"/>
              </w:rPr>
              <w:t>stemningssvingninger hos personer med recidiverende affektive lidelse</w:t>
            </w:r>
            <w:r w:rsidR="0071529C">
              <w:rPr>
                <w:rFonts w:ascii="Arial" w:hAnsi="Arial"/>
                <w:sz w:val="22"/>
              </w:rPr>
              <w:t>r herunder især af bipolar type</w:t>
            </w:r>
            <w:r w:rsidR="005D468E">
              <w:rPr>
                <w:rFonts w:ascii="Arial" w:hAnsi="Arial"/>
                <w:sz w:val="22"/>
              </w:rPr>
              <w:t xml:space="preserve"> (maniske og depressive faser).</w:t>
            </w:r>
          </w:p>
          <w:p w14:paraId="16F74D1D" w14:textId="77777777" w:rsidR="00117960" w:rsidRDefault="00117960">
            <w:pPr>
              <w:rPr>
                <w:rFonts w:ascii="Arial" w:hAnsi="Arial"/>
                <w:sz w:val="22"/>
                <w:u w:val="single"/>
              </w:rPr>
            </w:pPr>
          </w:p>
          <w:p w14:paraId="1D98659D" w14:textId="77777777" w:rsidR="004136BC" w:rsidRDefault="004136BC">
            <w:pPr>
              <w:rPr>
                <w:rFonts w:ascii="Arial" w:hAnsi="Arial"/>
                <w:sz w:val="22"/>
              </w:rPr>
            </w:pPr>
            <w:proofErr w:type="spellStart"/>
            <w:r w:rsidRPr="00117960">
              <w:rPr>
                <w:rFonts w:ascii="Arial" w:hAnsi="Arial"/>
                <w:sz w:val="22"/>
                <w:u w:val="single"/>
              </w:rPr>
              <w:t>Antipsykotika</w:t>
            </w:r>
            <w:proofErr w:type="spellEnd"/>
            <w:r w:rsidRPr="00117960">
              <w:rPr>
                <w:rFonts w:ascii="Arial" w:hAnsi="Arial"/>
                <w:sz w:val="22"/>
                <w:u w:val="single"/>
              </w:rPr>
              <w:t>:</w:t>
            </w:r>
            <w:r>
              <w:rPr>
                <w:rFonts w:ascii="Arial" w:hAnsi="Arial"/>
                <w:sz w:val="22"/>
              </w:rPr>
              <w:t xml:space="preserve"> Virksomme ved psykiske lidelser præget af angst og uro – hvilket formentligt skyldes lægemidlernes </w:t>
            </w:r>
            <w:proofErr w:type="spellStart"/>
            <w:r>
              <w:rPr>
                <w:rFonts w:ascii="Arial" w:hAnsi="Arial"/>
                <w:sz w:val="22"/>
              </w:rPr>
              <w:t>antidopaminerge</w:t>
            </w:r>
            <w:proofErr w:type="spellEnd"/>
            <w:r>
              <w:rPr>
                <w:rFonts w:ascii="Arial" w:hAnsi="Arial"/>
                <w:sz w:val="22"/>
              </w:rPr>
              <w:t xml:space="preserve"> virkning. </w:t>
            </w:r>
            <w:r w:rsidR="00117960">
              <w:rPr>
                <w:rFonts w:ascii="Arial" w:hAnsi="Arial"/>
                <w:sz w:val="22"/>
              </w:rPr>
              <w:t xml:space="preserve">Følgende lidelser behandles med </w:t>
            </w:r>
            <w:proofErr w:type="spellStart"/>
            <w:r w:rsidR="00117960">
              <w:rPr>
                <w:rFonts w:ascii="Arial" w:hAnsi="Arial"/>
                <w:sz w:val="22"/>
              </w:rPr>
              <w:t>antipsykotika</w:t>
            </w:r>
            <w:proofErr w:type="spellEnd"/>
            <w:r w:rsidR="00117960">
              <w:rPr>
                <w:rFonts w:ascii="Arial" w:hAnsi="Arial"/>
                <w:sz w:val="22"/>
              </w:rPr>
              <w:t xml:space="preserve">: </w:t>
            </w:r>
          </w:p>
          <w:p w14:paraId="7570ABFA" w14:textId="73E1A8FE" w:rsidR="00117960" w:rsidRPr="00117960" w:rsidRDefault="00117960" w:rsidP="00117960">
            <w:pPr>
              <w:pStyle w:val="Listeafsnit"/>
              <w:numPr>
                <w:ilvl w:val="0"/>
                <w:numId w:val="12"/>
              </w:numPr>
              <w:rPr>
                <w:rFonts w:ascii="Arial" w:hAnsi="Arial"/>
                <w:sz w:val="22"/>
              </w:rPr>
            </w:pPr>
            <w:proofErr w:type="spellStart"/>
            <w:r w:rsidRPr="00117960">
              <w:rPr>
                <w:rFonts w:ascii="Arial" w:hAnsi="Arial"/>
                <w:sz w:val="22"/>
              </w:rPr>
              <w:t>Skitzofreni</w:t>
            </w:r>
            <w:proofErr w:type="spellEnd"/>
          </w:p>
          <w:p w14:paraId="20110099" w14:textId="77777777" w:rsidR="00117960" w:rsidRDefault="00117960" w:rsidP="00117960">
            <w:pPr>
              <w:pStyle w:val="Listeafsnit"/>
              <w:numPr>
                <w:ilvl w:val="0"/>
                <w:numId w:val="12"/>
              </w:num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Paronoide</w:t>
            </w:r>
            <w:proofErr w:type="spellEnd"/>
            <w:r>
              <w:rPr>
                <w:rFonts w:ascii="Arial" w:hAnsi="Arial"/>
                <w:sz w:val="22"/>
              </w:rPr>
              <w:t xml:space="preserve"> psykoser</w:t>
            </w:r>
          </w:p>
          <w:p w14:paraId="79ACF55A" w14:textId="77777777" w:rsidR="00117960" w:rsidRDefault="00117960" w:rsidP="00117960">
            <w:pPr>
              <w:pStyle w:val="Listeafsnit"/>
              <w:numPr>
                <w:ilvl w:val="0"/>
                <w:numId w:val="12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Akutte / forbigående psykoser</w:t>
            </w:r>
          </w:p>
          <w:p w14:paraId="56CDEFC9" w14:textId="459A163D" w:rsidR="00AC347C" w:rsidRDefault="00117960" w:rsidP="00AC347C">
            <w:pPr>
              <w:pStyle w:val="Listeafsnit"/>
              <w:numPr>
                <w:ilvl w:val="0"/>
                <w:numId w:val="12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Bipolar sygdom (stemningssvingninger)</w:t>
            </w:r>
          </w:p>
          <w:p w14:paraId="43540152" w14:textId="1B0B6D28" w:rsidR="00AC347C" w:rsidRPr="00AC347C" w:rsidRDefault="00AC347C" w:rsidP="00AC347C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Antipsykotika</w:t>
            </w:r>
            <w:proofErr w:type="spellEnd"/>
            <w:r>
              <w:rPr>
                <w:rFonts w:ascii="Arial" w:hAnsi="Arial"/>
                <w:sz w:val="22"/>
              </w:rPr>
              <w:t xml:space="preserve"> er mest virksom overfor de produktive psykotiske symptomer som fx hallucinationer og vrangforestillinger og mindre udtalt overfor de negative symptomer som fx initiativløshed og tanketomhed.</w:t>
            </w:r>
            <w:r w:rsidR="003B702F">
              <w:rPr>
                <w:rFonts w:ascii="Arial" w:hAnsi="Arial"/>
                <w:sz w:val="22"/>
              </w:rPr>
              <w:t xml:space="preserve"> Der er ikke tale om en egentlig </w:t>
            </w:r>
            <w:proofErr w:type="spellStart"/>
            <w:r w:rsidR="003B702F">
              <w:rPr>
                <w:rFonts w:ascii="Arial" w:hAnsi="Arial"/>
                <w:sz w:val="22"/>
              </w:rPr>
              <w:t>kurativ</w:t>
            </w:r>
            <w:proofErr w:type="spellEnd"/>
            <w:r w:rsidR="003B702F">
              <w:rPr>
                <w:rFonts w:ascii="Arial" w:hAnsi="Arial"/>
                <w:sz w:val="22"/>
              </w:rPr>
              <w:t xml:space="preserve"> antipsykotisk </w:t>
            </w:r>
            <w:r w:rsidR="003B702F">
              <w:rPr>
                <w:rFonts w:ascii="Arial" w:hAnsi="Arial"/>
                <w:sz w:val="22"/>
              </w:rPr>
              <w:lastRenderedPageBreak/>
              <w:t>behandling, kun om en symptomatisk dæmpning.</w:t>
            </w:r>
          </w:p>
          <w:p w14:paraId="2817BFED" w14:textId="77777777" w:rsidR="001B43B7" w:rsidRDefault="001B43B7" w:rsidP="001B43B7">
            <w:pPr>
              <w:rPr>
                <w:rFonts w:ascii="Arial" w:hAnsi="Arial"/>
                <w:sz w:val="22"/>
              </w:rPr>
            </w:pPr>
          </w:p>
          <w:p w14:paraId="58081689" w14:textId="77777777" w:rsidR="001B43B7" w:rsidRDefault="001B43B7" w:rsidP="001B43B7">
            <w:pPr>
              <w:rPr>
                <w:rFonts w:ascii="Arial" w:hAnsi="Arial"/>
                <w:sz w:val="22"/>
              </w:rPr>
            </w:pPr>
            <w:proofErr w:type="spellStart"/>
            <w:r w:rsidRPr="001B43B7">
              <w:rPr>
                <w:rFonts w:ascii="Arial" w:hAnsi="Arial"/>
                <w:sz w:val="22"/>
                <w:u w:val="single"/>
              </w:rPr>
              <w:t>Anxiolytika</w:t>
            </w:r>
            <w:proofErr w:type="spellEnd"/>
            <w:r w:rsidRPr="001B43B7">
              <w:rPr>
                <w:rFonts w:ascii="Arial" w:hAnsi="Arial"/>
                <w:sz w:val="22"/>
                <w:u w:val="single"/>
              </w:rPr>
              <w:t xml:space="preserve"> og </w:t>
            </w:r>
            <w:proofErr w:type="spellStart"/>
            <w:r w:rsidRPr="001B43B7">
              <w:rPr>
                <w:rFonts w:ascii="Arial" w:hAnsi="Arial"/>
                <w:sz w:val="22"/>
                <w:u w:val="single"/>
              </w:rPr>
              <w:t>hypnotika</w:t>
            </w:r>
            <w:proofErr w:type="spellEnd"/>
            <w:r w:rsidRPr="001B43B7">
              <w:rPr>
                <w:rFonts w:ascii="Arial" w:hAnsi="Arial"/>
                <w:sz w:val="22"/>
                <w:u w:val="single"/>
              </w:rPr>
              <w:t>:</w:t>
            </w:r>
            <w:r>
              <w:rPr>
                <w:rFonts w:ascii="Arial" w:hAnsi="Arial"/>
                <w:sz w:val="22"/>
              </w:rPr>
              <w:t xml:space="preserve"> Benyttes til at mindske angst, uro og muskelspændinger ved ikke-psykotiske tilstande samt ved visse søvnforstyrrelser. Benyttes desuden i abstinensbehandlingen af forskellige afhængighedssyndromer. Se emne 3. </w:t>
            </w:r>
          </w:p>
          <w:p w14:paraId="70ED8651" w14:textId="267D554E" w:rsidR="00D06780" w:rsidRPr="001B43B7" w:rsidRDefault="00D06780" w:rsidP="001B43B7">
            <w:pPr>
              <w:rPr>
                <w:rFonts w:ascii="Arial" w:hAnsi="Arial"/>
                <w:sz w:val="22"/>
              </w:rPr>
            </w:pPr>
          </w:p>
        </w:tc>
      </w:tr>
      <w:tr w:rsidR="00D06CE6" w14:paraId="7DF64EE2" w14:textId="77777777" w:rsidTr="00D06CE6">
        <w:tc>
          <w:tcPr>
            <w:tcW w:w="4859" w:type="dxa"/>
          </w:tcPr>
          <w:p w14:paraId="756B878A" w14:textId="72EA6781" w:rsidR="00D06CE6" w:rsidRPr="00B8402A" w:rsidRDefault="00D06CE6">
            <w:pPr>
              <w:rPr>
                <w:rFonts w:ascii="Arial" w:hAnsi="Arial"/>
                <w:sz w:val="22"/>
                <w:szCs w:val="22"/>
              </w:rPr>
            </w:pPr>
          </w:p>
          <w:p w14:paraId="1C62E8DE" w14:textId="77777777" w:rsidR="00B3146A" w:rsidRDefault="00B3146A">
            <w:pPr>
              <w:rPr>
                <w:rFonts w:ascii="Arial" w:hAnsi="Arial"/>
                <w:b/>
                <w:szCs w:val="22"/>
                <w:u w:val="single"/>
              </w:rPr>
            </w:pPr>
            <w:proofErr w:type="spellStart"/>
            <w:r w:rsidRPr="00DC5406">
              <w:rPr>
                <w:rFonts w:ascii="Arial" w:hAnsi="Arial"/>
                <w:b/>
                <w:szCs w:val="22"/>
                <w:u w:val="single"/>
              </w:rPr>
              <w:t>Antidepressiva</w:t>
            </w:r>
            <w:proofErr w:type="spellEnd"/>
          </w:p>
          <w:p w14:paraId="198C3D34" w14:textId="77777777" w:rsidR="00DC5406" w:rsidRDefault="00DC5406">
            <w:pPr>
              <w:rPr>
                <w:rFonts w:ascii="Arial" w:hAnsi="Arial"/>
                <w:b/>
                <w:szCs w:val="22"/>
                <w:u w:val="single"/>
              </w:rPr>
            </w:pPr>
          </w:p>
          <w:p w14:paraId="3414C257" w14:textId="38998053" w:rsidR="00DC5406" w:rsidRDefault="00DC5406">
            <w:pPr>
              <w:rPr>
                <w:rFonts w:ascii="Arial" w:hAnsi="Arial"/>
                <w:b/>
                <w:sz w:val="22"/>
                <w:szCs w:val="22"/>
              </w:rPr>
            </w:pPr>
            <w:r w:rsidRPr="00DC5406">
              <w:rPr>
                <w:rFonts w:ascii="Arial" w:hAnsi="Arial"/>
                <w:b/>
                <w:sz w:val="22"/>
                <w:szCs w:val="22"/>
              </w:rPr>
              <w:t>Definition og patogenese:</w:t>
            </w:r>
          </w:p>
          <w:p w14:paraId="3CAC0166" w14:textId="77777777" w:rsidR="00DC5406" w:rsidRDefault="00DC5406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2DBE8896" w14:textId="77777777" w:rsidR="00DC5406" w:rsidRDefault="00DC5406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018AB6DE" w14:textId="77777777" w:rsidR="00DC5406" w:rsidRDefault="00DC5406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7F58A55E" w14:textId="77777777" w:rsidR="00DC5406" w:rsidRDefault="00DC5406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06CCF0CD" w14:textId="77777777" w:rsidR="00DC5406" w:rsidRDefault="00DC5406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419603FE" w14:textId="77777777" w:rsidR="00DC5406" w:rsidRPr="007A2999" w:rsidRDefault="00DC5406">
            <w:pPr>
              <w:rPr>
                <w:rFonts w:ascii="Arial" w:hAnsi="Arial"/>
                <w:b/>
                <w:sz w:val="40"/>
                <w:szCs w:val="22"/>
              </w:rPr>
            </w:pPr>
          </w:p>
          <w:p w14:paraId="3323FA99" w14:textId="06517DED" w:rsidR="00DC5406" w:rsidRPr="00DC5406" w:rsidRDefault="00DC5406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Indikation:</w:t>
            </w:r>
          </w:p>
          <w:p w14:paraId="7B20B96E" w14:textId="77777777" w:rsidR="00DC5406" w:rsidRDefault="00DC5406">
            <w:pPr>
              <w:rPr>
                <w:rFonts w:ascii="Arial" w:hAnsi="Arial"/>
                <w:b/>
                <w:szCs w:val="22"/>
                <w:u w:val="single"/>
              </w:rPr>
            </w:pPr>
          </w:p>
          <w:p w14:paraId="4403CDB1" w14:textId="77777777" w:rsidR="00245CDD" w:rsidRDefault="00245CDD">
            <w:pPr>
              <w:rPr>
                <w:rFonts w:ascii="Arial" w:hAnsi="Arial"/>
                <w:b/>
                <w:sz w:val="28"/>
                <w:szCs w:val="22"/>
                <w:u w:val="single"/>
              </w:rPr>
            </w:pPr>
          </w:p>
          <w:p w14:paraId="35D03419" w14:textId="77777777" w:rsidR="00B90872" w:rsidRPr="00AD7535" w:rsidRDefault="00B90872">
            <w:pPr>
              <w:rPr>
                <w:rFonts w:ascii="Arial" w:hAnsi="Arial"/>
                <w:b/>
                <w:sz w:val="22"/>
                <w:szCs w:val="22"/>
                <w:u w:val="single"/>
              </w:rPr>
            </w:pPr>
          </w:p>
          <w:p w14:paraId="3ADD97B8" w14:textId="77777777" w:rsidR="00245CDD" w:rsidRPr="00245CDD" w:rsidRDefault="00245CDD">
            <w:pPr>
              <w:rPr>
                <w:rFonts w:ascii="Arial" w:hAnsi="Arial"/>
                <w:b/>
                <w:sz w:val="14"/>
                <w:szCs w:val="22"/>
                <w:u w:val="single"/>
              </w:rPr>
            </w:pPr>
          </w:p>
          <w:p w14:paraId="60F6DC23" w14:textId="79680693" w:rsidR="00245CDD" w:rsidRPr="00245CDD" w:rsidRDefault="00245CDD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Behandling:</w:t>
            </w:r>
          </w:p>
          <w:p w14:paraId="7ADAD7E6" w14:textId="77777777" w:rsidR="00DC5406" w:rsidRDefault="00DC5406">
            <w:pPr>
              <w:rPr>
                <w:rFonts w:ascii="Arial" w:hAnsi="Arial"/>
                <w:b/>
                <w:szCs w:val="22"/>
                <w:u w:val="single"/>
              </w:rPr>
            </w:pPr>
          </w:p>
          <w:p w14:paraId="7299D324" w14:textId="77777777" w:rsidR="00245CDD" w:rsidRDefault="00245CDD">
            <w:pPr>
              <w:rPr>
                <w:rFonts w:ascii="Arial" w:hAnsi="Arial"/>
                <w:b/>
                <w:szCs w:val="22"/>
                <w:u w:val="single"/>
              </w:rPr>
            </w:pPr>
          </w:p>
          <w:p w14:paraId="3B04F075" w14:textId="77777777" w:rsidR="004F3385" w:rsidRDefault="004F3385">
            <w:pPr>
              <w:rPr>
                <w:rFonts w:ascii="Arial" w:hAnsi="Arial"/>
                <w:b/>
                <w:szCs w:val="22"/>
                <w:u w:val="single"/>
              </w:rPr>
            </w:pPr>
          </w:p>
          <w:p w14:paraId="47898A2D" w14:textId="77777777" w:rsidR="004F3385" w:rsidRDefault="004F3385">
            <w:pPr>
              <w:rPr>
                <w:rFonts w:ascii="Arial" w:hAnsi="Arial"/>
                <w:b/>
                <w:szCs w:val="22"/>
                <w:u w:val="single"/>
              </w:rPr>
            </w:pPr>
          </w:p>
          <w:p w14:paraId="0286B9BE" w14:textId="77777777" w:rsidR="004F3385" w:rsidRDefault="004F3385">
            <w:pPr>
              <w:rPr>
                <w:rFonts w:ascii="Arial" w:hAnsi="Arial"/>
                <w:b/>
                <w:szCs w:val="22"/>
                <w:u w:val="single"/>
              </w:rPr>
            </w:pPr>
          </w:p>
          <w:p w14:paraId="059055E4" w14:textId="77777777" w:rsidR="004F3385" w:rsidRDefault="004F3385">
            <w:pPr>
              <w:rPr>
                <w:rFonts w:ascii="Arial" w:hAnsi="Arial"/>
                <w:b/>
                <w:szCs w:val="22"/>
                <w:u w:val="single"/>
              </w:rPr>
            </w:pPr>
          </w:p>
          <w:p w14:paraId="0D3BB139" w14:textId="77777777" w:rsidR="004F3385" w:rsidRDefault="004F3385">
            <w:pPr>
              <w:rPr>
                <w:rFonts w:ascii="Arial" w:hAnsi="Arial"/>
                <w:b/>
                <w:szCs w:val="22"/>
                <w:u w:val="single"/>
              </w:rPr>
            </w:pPr>
          </w:p>
          <w:p w14:paraId="1245F5A8" w14:textId="77777777" w:rsidR="00245CDD" w:rsidRDefault="00245CDD">
            <w:pPr>
              <w:rPr>
                <w:rFonts w:ascii="Arial" w:hAnsi="Arial"/>
                <w:b/>
                <w:sz w:val="20"/>
                <w:szCs w:val="22"/>
                <w:u w:val="single"/>
              </w:rPr>
            </w:pPr>
          </w:p>
          <w:p w14:paraId="3D0F739D" w14:textId="77777777" w:rsidR="00B31ED0" w:rsidRDefault="00B31ED0">
            <w:pPr>
              <w:rPr>
                <w:rFonts w:ascii="Arial" w:hAnsi="Arial"/>
                <w:b/>
                <w:sz w:val="20"/>
                <w:szCs w:val="22"/>
                <w:u w:val="single"/>
              </w:rPr>
            </w:pPr>
          </w:p>
          <w:p w14:paraId="14D320AF" w14:textId="77777777" w:rsidR="00B31ED0" w:rsidRDefault="00B31ED0">
            <w:pPr>
              <w:rPr>
                <w:rFonts w:ascii="Arial" w:hAnsi="Arial"/>
                <w:b/>
                <w:sz w:val="20"/>
                <w:szCs w:val="22"/>
                <w:u w:val="single"/>
              </w:rPr>
            </w:pPr>
          </w:p>
          <w:p w14:paraId="07B0E462" w14:textId="77777777" w:rsidR="00BB09B9" w:rsidRDefault="00BB09B9">
            <w:pPr>
              <w:rPr>
                <w:rFonts w:ascii="Arial" w:hAnsi="Arial"/>
                <w:b/>
                <w:sz w:val="20"/>
                <w:szCs w:val="22"/>
                <w:u w:val="single"/>
              </w:rPr>
            </w:pPr>
          </w:p>
          <w:p w14:paraId="28364504" w14:textId="77777777" w:rsidR="00BB09B9" w:rsidRDefault="00BB09B9">
            <w:pPr>
              <w:rPr>
                <w:rFonts w:ascii="Arial" w:hAnsi="Arial"/>
                <w:b/>
                <w:sz w:val="20"/>
                <w:szCs w:val="22"/>
                <w:u w:val="single"/>
              </w:rPr>
            </w:pPr>
          </w:p>
          <w:p w14:paraId="450273E2" w14:textId="77777777" w:rsidR="00BB09B9" w:rsidRDefault="00BB09B9">
            <w:pPr>
              <w:rPr>
                <w:rFonts w:ascii="Arial" w:hAnsi="Arial"/>
                <w:b/>
                <w:sz w:val="20"/>
                <w:szCs w:val="22"/>
                <w:u w:val="single"/>
              </w:rPr>
            </w:pPr>
          </w:p>
          <w:p w14:paraId="21464474" w14:textId="77777777" w:rsidR="00D94C55" w:rsidRDefault="00D94C55">
            <w:pPr>
              <w:rPr>
                <w:rFonts w:ascii="Arial" w:hAnsi="Arial"/>
                <w:b/>
                <w:sz w:val="20"/>
                <w:szCs w:val="22"/>
                <w:u w:val="single"/>
              </w:rPr>
            </w:pPr>
          </w:p>
          <w:p w14:paraId="1FBCE2CB" w14:textId="77777777" w:rsidR="00D94C55" w:rsidRDefault="00D94C55">
            <w:pPr>
              <w:rPr>
                <w:rFonts w:ascii="Arial" w:hAnsi="Arial"/>
                <w:b/>
                <w:sz w:val="20"/>
                <w:szCs w:val="22"/>
                <w:u w:val="single"/>
              </w:rPr>
            </w:pPr>
          </w:p>
          <w:p w14:paraId="2C55589E" w14:textId="77777777" w:rsidR="00D94C55" w:rsidRDefault="00D94C55">
            <w:pPr>
              <w:rPr>
                <w:rFonts w:ascii="Arial" w:hAnsi="Arial"/>
                <w:b/>
                <w:sz w:val="20"/>
                <w:szCs w:val="22"/>
                <w:u w:val="single"/>
              </w:rPr>
            </w:pPr>
          </w:p>
          <w:p w14:paraId="02999A77" w14:textId="77777777" w:rsidR="00B31ED0" w:rsidRDefault="00B31ED0">
            <w:pPr>
              <w:rPr>
                <w:rFonts w:ascii="Arial" w:hAnsi="Arial"/>
                <w:b/>
                <w:sz w:val="20"/>
                <w:szCs w:val="22"/>
                <w:u w:val="single"/>
              </w:rPr>
            </w:pPr>
          </w:p>
          <w:p w14:paraId="2CE8DC07" w14:textId="77777777" w:rsidR="00EA4C34" w:rsidRPr="00EA4C34" w:rsidRDefault="00EA4C34">
            <w:pPr>
              <w:rPr>
                <w:rFonts w:ascii="Arial" w:hAnsi="Arial"/>
                <w:b/>
                <w:sz w:val="36"/>
                <w:szCs w:val="22"/>
                <w:u w:val="single"/>
              </w:rPr>
            </w:pPr>
          </w:p>
          <w:p w14:paraId="1B706444" w14:textId="77777777" w:rsidR="00DC5406" w:rsidRDefault="00DC5406">
            <w:pPr>
              <w:rPr>
                <w:rFonts w:ascii="Arial" w:hAnsi="Arial"/>
                <w:b/>
                <w:szCs w:val="22"/>
                <w:u w:val="single"/>
              </w:rPr>
            </w:pPr>
          </w:p>
          <w:p w14:paraId="74E4C916" w14:textId="6E9CFC9E" w:rsidR="00DC5406" w:rsidRPr="00DC5406" w:rsidRDefault="00DC5406">
            <w:pPr>
              <w:rPr>
                <w:rFonts w:ascii="Arial" w:hAnsi="Arial"/>
                <w:b/>
                <w:sz w:val="22"/>
                <w:szCs w:val="22"/>
              </w:rPr>
            </w:pPr>
            <w:r w:rsidRPr="00DC5406">
              <w:rPr>
                <w:rFonts w:ascii="Arial" w:hAnsi="Arial"/>
                <w:b/>
                <w:sz w:val="22"/>
                <w:szCs w:val="22"/>
              </w:rPr>
              <w:t>Antidepressive lægemidler</w:t>
            </w:r>
            <w:r w:rsidR="002735FD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4781" w:type="dxa"/>
          </w:tcPr>
          <w:p w14:paraId="6FCF568F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</w:p>
          <w:p w14:paraId="73DCCE09" w14:textId="77777777" w:rsidR="00DC5406" w:rsidRDefault="00DC5406" w:rsidP="00B3146A">
            <w:pPr>
              <w:pStyle w:val="Brdtekst"/>
              <w:rPr>
                <w:rFonts w:ascii="Arial" w:hAnsi="Arial" w:cs="Times New Roman"/>
              </w:rPr>
            </w:pPr>
          </w:p>
          <w:p w14:paraId="78D91FF5" w14:textId="77777777" w:rsidR="00DC5406" w:rsidRDefault="00DC5406" w:rsidP="00B3146A">
            <w:pPr>
              <w:pStyle w:val="Brdtekst"/>
              <w:rPr>
                <w:rFonts w:ascii="Arial" w:hAnsi="Arial" w:cs="Times New Roman"/>
              </w:rPr>
            </w:pPr>
          </w:p>
          <w:p w14:paraId="003890E2" w14:textId="2A03D076" w:rsidR="00B3146A" w:rsidRDefault="00B3146A" w:rsidP="00B3146A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 xml:space="preserve">Depression; stress betinget sygdom med forøget aktivitet i </w:t>
            </w:r>
            <w:proofErr w:type="spellStart"/>
            <w:r w:rsidRPr="00B8402A">
              <w:rPr>
                <w:rFonts w:ascii="Arial" w:hAnsi="Arial" w:cs="Times New Roman"/>
              </w:rPr>
              <w:t>hypothalamus</w:t>
            </w:r>
            <w:proofErr w:type="spellEnd"/>
            <w:r w:rsidRPr="00B8402A">
              <w:rPr>
                <w:rFonts w:ascii="Arial" w:hAnsi="Arial" w:cs="Times New Roman"/>
              </w:rPr>
              <w:t>-hy</w:t>
            </w:r>
            <w:r w:rsidR="00E10BA8">
              <w:rPr>
                <w:rFonts w:ascii="Arial" w:hAnsi="Arial" w:cs="Times New Roman"/>
              </w:rPr>
              <w:t xml:space="preserve">pofyse-binyre-aksen og underskud af </w:t>
            </w:r>
            <w:proofErr w:type="spellStart"/>
            <w:r w:rsidR="00E10BA8">
              <w:rPr>
                <w:rFonts w:ascii="Arial" w:hAnsi="Arial" w:cs="Times New Roman"/>
              </w:rPr>
              <w:t>serotonin</w:t>
            </w:r>
            <w:proofErr w:type="spellEnd"/>
            <w:r w:rsidR="00E10BA8">
              <w:rPr>
                <w:rFonts w:ascii="Arial" w:hAnsi="Arial" w:cs="Times New Roman"/>
              </w:rPr>
              <w:t xml:space="preserve"> og/eller noradrenalin i hjernen. På baggrund af denne teori er blevet udviklet antidepressive lægemidler der selektivt øger signalstofferne </w:t>
            </w:r>
            <w:proofErr w:type="spellStart"/>
            <w:r w:rsidR="00E10BA8">
              <w:rPr>
                <w:rFonts w:ascii="Arial" w:hAnsi="Arial" w:cs="Times New Roman"/>
              </w:rPr>
              <w:t>serotonin</w:t>
            </w:r>
            <w:proofErr w:type="spellEnd"/>
            <w:r w:rsidR="00E10BA8">
              <w:rPr>
                <w:rFonts w:ascii="Arial" w:hAnsi="Arial" w:cs="Times New Roman"/>
              </w:rPr>
              <w:t xml:space="preserve"> og </w:t>
            </w:r>
            <w:proofErr w:type="spellStart"/>
            <w:r w:rsidR="00E10BA8">
              <w:rPr>
                <w:rFonts w:ascii="Arial" w:hAnsi="Arial" w:cs="Times New Roman"/>
              </w:rPr>
              <w:t>noradrenlain</w:t>
            </w:r>
            <w:proofErr w:type="spellEnd"/>
            <w:r w:rsidR="00E10BA8">
              <w:rPr>
                <w:rFonts w:ascii="Arial" w:hAnsi="Arial" w:cs="Times New Roman"/>
              </w:rPr>
              <w:t xml:space="preserve"> i </w:t>
            </w:r>
            <w:proofErr w:type="spellStart"/>
            <w:r w:rsidR="00E10BA8">
              <w:rPr>
                <w:rFonts w:ascii="Arial" w:hAnsi="Arial" w:cs="Times New Roman"/>
              </w:rPr>
              <w:t>synapserne</w:t>
            </w:r>
            <w:proofErr w:type="spellEnd"/>
            <w:r w:rsidR="00E10BA8">
              <w:rPr>
                <w:rFonts w:ascii="Arial" w:hAnsi="Arial" w:cs="Times New Roman"/>
              </w:rPr>
              <w:t xml:space="preserve">. </w:t>
            </w:r>
          </w:p>
          <w:p w14:paraId="7F3EA071" w14:textId="77777777" w:rsidR="00DC5406" w:rsidRDefault="00DC5406" w:rsidP="00B3146A">
            <w:pPr>
              <w:pStyle w:val="Brdtekst"/>
              <w:rPr>
                <w:rFonts w:ascii="Arial" w:hAnsi="Arial" w:cs="Times New Roman"/>
              </w:rPr>
            </w:pPr>
          </w:p>
          <w:p w14:paraId="209E0331" w14:textId="64BB390D" w:rsidR="00DC5406" w:rsidRDefault="00061772" w:rsidP="00B3146A">
            <w:pPr>
              <w:pStyle w:val="Brdtekst"/>
              <w:rPr>
                <w:rFonts w:ascii="Arial" w:hAnsi="Arial" w:cs="Times New Roman"/>
              </w:rPr>
            </w:pPr>
            <w:proofErr w:type="spellStart"/>
            <w:r>
              <w:rPr>
                <w:rFonts w:ascii="Arial" w:hAnsi="Arial" w:cs="Times New Roman"/>
              </w:rPr>
              <w:t>Antidepressiva</w:t>
            </w:r>
            <w:proofErr w:type="spellEnd"/>
            <w:r>
              <w:rPr>
                <w:rFonts w:ascii="Arial" w:hAnsi="Arial" w:cs="Times New Roman"/>
              </w:rPr>
              <w:t xml:space="preserve"> anvendes til behandling af moderate til svære depressive episoder hos personer med unipolare depressive tilstande.</w:t>
            </w:r>
            <w:r w:rsidR="003B144D">
              <w:rPr>
                <w:rFonts w:ascii="Arial" w:hAnsi="Arial" w:cs="Times New Roman"/>
              </w:rPr>
              <w:t xml:space="preserve"> </w:t>
            </w:r>
          </w:p>
          <w:p w14:paraId="130DEF85" w14:textId="18AA8248" w:rsidR="007A2999" w:rsidRDefault="007A2999" w:rsidP="00B3146A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Derudover til en række angsttilstande.</w:t>
            </w:r>
          </w:p>
          <w:p w14:paraId="413C217D" w14:textId="77777777" w:rsidR="00245CDD" w:rsidRDefault="00245CDD" w:rsidP="00B3146A">
            <w:pPr>
              <w:pStyle w:val="Brdtekst"/>
              <w:rPr>
                <w:rFonts w:ascii="Arial" w:hAnsi="Arial" w:cs="Times New Roman"/>
              </w:rPr>
            </w:pPr>
          </w:p>
          <w:p w14:paraId="47EB2E67" w14:textId="6D6454A0" w:rsidR="00B31ED0" w:rsidRDefault="00E63BCC" w:rsidP="00B3146A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Symptomerne vil forsvinde eller lindres med op til 60-70% i løbet af 4-8 ugers behandling. Placeboeffekten menes at forårsage 30-40% af virkningen. </w:t>
            </w:r>
            <w:r w:rsidR="007A2999">
              <w:rPr>
                <w:rFonts w:ascii="Arial" w:hAnsi="Arial" w:cs="Times New Roman"/>
              </w:rPr>
              <w:t xml:space="preserve">Depressionsbehandling kan inddeles i den akutte behandling, vedligeholdelsesbehandling og forebyggende behandling. Når pt. har responderet på den akutte behandling fortsættes denne 6-12 mdr. som vedligeholdelsesbehandling med samme </w:t>
            </w:r>
            <w:proofErr w:type="spellStart"/>
            <w:r w:rsidR="007A2999">
              <w:rPr>
                <w:rFonts w:ascii="Arial" w:hAnsi="Arial" w:cs="Times New Roman"/>
              </w:rPr>
              <w:t>antidepressiva</w:t>
            </w:r>
            <w:proofErr w:type="spellEnd"/>
            <w:r w:rsidR="007A2999">
              <w:rPr>
                <w:rFonts w:ascii="Arial" w:hAnsi="Arial" w:cs="Times New Roman"/>
              </w:rPr>
              <w:t xml:space="preserve">. </w:t>
            </w:r>
          </w:p>
          <w:p w14:paraId="245FF7C4" w14:textId="28E7722A" w:rsidR="00B31ED0" w:rsidRDefault="00B31ED0" w:rsidP="00B3146A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Ved behandling af angsttilstande indsæ</w:t>
            </w:r>
            <w:r w:rsidR="0071529C">
              <w:rPr>
                <w:rFonts w:ascii="Arial" w:hAnsi="Arial" w:cs="Times New Roman"/>
              </w:rPr>
              <w:t>tter symptomlindring ofte først</w:t>
            </w:r>
            <w:r>
              <w:rPr>
                <w:rFonts w:ascii="Arial" w:hAnsi="Arial" w:cs="Times New Roman"/>
              </w:rPr>
              <w:t xml:space="preserve"> efter måneders behandling.</w:t>
            </w:r>
          </w:p>
          <w:p w14:paraId="25EFF789" w14:textId="6CFF82B5" w:rsidR="00BB09B9" w:rsidRPr="00B8402A" w:rsidRDefault="00BB09B9" w:rsidP="00B3146A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Ophør med antidepressiv behandling bør foregå under langsom aftrapning for at undgå ophørssyndrom</w:t>
            </w:r>
            <w:r w:rsidR="001C05E4">
              <w:rPr>
                <w:rFonts w:ascii="Arial" w:hAnsi="Arial" w:cs="Times New Roman"/>
              </w:rPr>
              <w:t xml:space="preserve"> (svimmelhed, kvalme, hovedpine, angst, nedsat</w:t>
            </w:r>
            <w:r w:rsidR="00D94C55">
              <w:rPr>
                <w:rFonts w:ascii="Arial" w:hAnsi="Arial" w:cs="Times New Roman"/>
              </w:rPr>
              <w:t xml:space="preserve"> </w:t>
            </w:r>
            <w:r w:rsidR="001C05E4">
              <w:rPr>
                <w:rFonts w:ascii="Arial" w:hAnsi="Arial" w:cs="Times New Roman"/>
              </w:rPr>
              <w:t>stemningsleje</w:t>
            </w:r>
            <w:r w:rsidR="00D94C55">
              <w:rPr>
                <w:rFonts w:ascii="Arial" w:hAnsi="Arial" w:cs="Times New Roman"/>
              </w:rPr>
              <w:t>, søvnforstyrrelse og influenzalignende symptomer</w:t>
            </w:r>
            <w:r w:rsidR="001C05E4">
              <w:rPr>
                <w:rFonts w:ascii="Arial" w:hAnsi="Arial" w:cs="Times New Roman"/>
              </w:rPr>
              <w:t>)</w:t>
            </w:r>
            <w:r>
              <w:rPr>
                <w:rFonts w:ascii="Arial" w:hAnsi="Arial" w:cs="Times New Roman"/>
              </w:rPr>
              <w:t xml:space="preserve">. </w:t>
            </w:r>
          </w:p>
          <w:p w14:paraId="7D888A7A" w14:textId="77777777" w:rsidR="003B144D" w:rsidRPr="00B8402A" w:rsidRDefault="003B144D" w:rsidP="00B3146A">
            <w:pPr>
              <w:pStyle w:val="Brdtekst"/>
              <w:rPr>
                <w:rFonts w:ascii="Arial" w:hAnsi="Arial" w:cs="Times New Roman"/>
              </w:rPr>
            </w:pPr>
          </w:p>
          <w:p w14:paraId="4169D22A" w14:textId="6CDCBBAC" w:rsidR="00B3146A" w:rsidRPr="00B8402A" w:rsidRDefault="00B8402A" w:rsidP="00B3146A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r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TCA</w:t>
            </w:r>
          </w:p>
          <w:p w14:paraId="13B07ED1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1598C6C4" w14:textId="77777777" w:rsidR="009E3D8C" w:rsidRDefault="00B3146A" w:rsidP="00B3146A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 xml:space="preserve">Sekundær eller tertiær </w:t>
            </w:r>
            <w:proofErr w:type="spellStart"/>
            <w:r w:rsidRPr="00B8402A">
              <w:rPr>
                <w:rFonts w:ascii="Arial" w:hAnsi="Arial" w:cs="Times New Roman"/>
              </w:rPr>
              <w:t>amin</w:t>
            </w:r>
            <w:proofErr w:type="spellEnd"/>
            <w:r w:rsidRPr="00B8402A">
              <w:rPr>
                <w:rFonts w:ascii="Arial" w:hAnsi="Arial" w:cs="Times New Roman"/>
              </w:rPr>
              <w:t xml:space="preserve">, som hæmmer genoptag af </w:t>
            </w:r>
            <w:proofErr w:type="spellStart"/>
            <w:r w:rsidRPr="00B8402A">
              <w:rPr>
                <w:rFonts w:ascii="Arial" w:hAnsi="Arial" w:cs="Times New Roman"/>
              </w:rPr>
              <w:t>serotonin</w:t>
            </w:r>
            <w:proofErr w:type="spellEnd"/>
            <w:r w:rsidRPr="00B8402A">
              <w:rPr>
                <w:rFonts w:ascii="Arial" w:hAnsi="Arial" w:cs="Times New Roman"/>
              </w:rPr>
              <w:t xml:space="preserve"> og noradrenalin fra </w:t>
            </w:r>
            <w:proofErr w:type="spellStart"/>
            <w:r w:rsidRPr="00B8402A">
              <w:rPr>
                <w:rFonts w:ascii="Arial" w:hAnsi="Arial" w:cs="Times New Roman"/>
              </w:rPr>
              <w:t>synapsespalterne</w:t>
            </w:r>
            <w:proofErr w:type="spellEnd"/>
            <w:r w:rsidR="00BA4426">
              <w:rPr>
                <w:rFonts w:ascii="Arial" w:hAnsi="Arial" w:cs="Times New Roman"/>
              </w:rPr>
              <w:t xml:space="preserve"> ved at blokere de </w:t>
            </w:r>
            <w:r w:rsidR="009E3D8C">
              <w:rPr>
                <w:rFonts w:ascii="Arial" w:hAnsi="Arial" w:cs="Times New Roman"/>
              </w:rPr>
              <w:t>pågældende membrantransportere</w:t>
            </w:r>
            <w:r w:rsidRPr="00B8402A">
              <w:rPr>
                <w:rFonts w:ascii="Arial" w:hAnsi="Arial" w:cs="Times New Roman"/>
              </w:rPr>
              <w:t>.</w:t>
            </w:r>
            <w:r w:rsidR="009E3D8C">
              <w:rPr>
                <w:rFonts w:ascii="Arial" w:hAnsi="Arial" w:cs="Times New Roman"/>
              </w:rPr>
              <w:t xml:space="preserve"> De sekundære har størst affinitet til noradrenalin membrantransportere, mens de tertiære </w:t>
            </w:r>
            <w:proofErr w:type="spellStart"/>
            <w:r w:rsidR="009E3D8C">
              <w:rPr>
                <w:rFonts w:ascii="Arial" w:hAnsi="Arial" w:cs="Times New Roman"/>
              </w:rPr>
              <w:t>aminer</w:t>
            </w:r>
            <w:proofErr w:type="spellEnd"/>
            <w:r w:rsidR="009E3D8C">
              <w:rPr>
                <w:rFonts w:ascii="Arial" w:hAnsi="Arial" w:cs="Times New Roman"/>
              </w:rPr>
              <w:t xml:space="preserve"> har størst affinitet for </w:t>
            </w:r>
            <w:proofErr w:type="spellStart"/>
            <w:r w:rsidR="009E3D8C">
              <w:rPr>
                <w:rFonts w:ascii="Arial" w:hAnsi="Arial" w:cs="Times New Roman"/>
              </w:rPr>
              <w:t>serotonin</w:t>
            </w:r>
            <w:proofErr w:type="spellEnd"/>
            <w:r w:rsidR="009E3D8C">
              <w:rPr>
                <w:rFonts w:ascii="Arial" w:hAnsi="Arial" w:cs="Times New Roman"/>
              </w:rPr>
              <w:t xml:space="preserve"> </w:t>
            </w:r>
            <w:r w:rsidR="009E3D8C">
              <w:rPr>
                <w:rFonts w:ascii="Arial" w:hAnsi="Arial" w:cs="Times New Roman"/>
              </w:rPr>
              <w:lastRenderedPageBreak/>
              <w:t xml:space="preserve">membrantransportere. </w:t>
            </w:r>
          </w:p>
          <w:p w14:paraId="74FDD0A5" w14:textId="59702FD6" w:rsidR="00B3146A" w:rsidRPr="00B8402A" w:rsidRDefault="009E3D8C" w:rsidP="00B3146A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Foruden beskrevne mekanisme virker TCA også hæmmende på en række receptorer herunder </w:t>
            </w:r>
            <w:proofErr w:type="spellStart"/>
            <w:r>
              <w:rPr>
                <w:rFonts w:ascii="Arial" w:hAnsi="Arial" w:cs="Times New Roman"/>
              </w:rPr>
              <w:t>serotonin</w:t>
            </w:r>
            <w:proofErr w:type="spellEnd"/>
            <w:r>
              <w:rPr>
                <w:rFonts w:ascii="Arial" w:hAnsi="Arial" w:cs="Times New Roman"/>
              </w:rPr>
              <w:t xml:space="preserve">, noradrenalin, histamin og </w:t>
            </w:r>
            <w:proofErr w:type="spellStart"/>
            <w:r>
              <w:rPr>
                <w:rFonts w:ascii="Arial" w:hAnsi="Arial" w:cs="Times New Roman"/>
              </w:rPr>
              <w:t>acetylkolin</w:t>
            </w:r>
            <w:proofErr w:type="spellEnd"/>
            <w:r>
              <w:rPr>
                <w:rFonts w:ascii="Arial" w:hAnsi="Arial" w:cs="Times New Roman"/>
              </w:rPr>
              <w:t xml:space="preserve">, hvilket er årsag til omfattende bivirkningsprofil. </w:t>
            </w:r>
          </w:p>
          <w:p w14:paraId="483A3709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7C5E4017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 xml:space="preserve">Middelsvær- svær depression uden </w:t>
            </w:r>
            <w:proofErr w:type="spellStart"/>
            <w:r w:rsidRPr="00B8402A">
              <w:rPr>
                <w:rFonts w:ascii="Arial" w:hAnsi="Arial" w:cs="Times New Roman"/>
              </w:rPr>
              <w:t>melakolisymptomer</w:t>
            </w:r>
            <w:proofErr w:type="spellEnd"/>
            <w:r w:rsidRPr="00B8402A">
              <w:rPr>
                <w:rFonts w:ascii="Arial" w:hAnsi="Arial" w:cs="Times New Roman"/>
              </w:rPr>
              <w:t xml:space="preserve"> (søvnforstyrrelser, vægttab osv.) hvor SSRI ikke virker, alvorlig depression med </w:t>
            </w:r>
            <w:proofErr w:type="spellStart"/>
            <w:r w:rsidRPr="00B8402A">
              <w:rPr>
                <w:rFonts w:ascii="Arial" w:hAnsi="Arial" w:cs="Times New Roman"/>
              </w:rPr>
              <w:t>melakolisymptomer</w:t>
            </w:r>
            <w:proofErr w:type="spellEnd"/>
            <w:r w:rsidRPr="00B8402A">
              <w:rPr>
                <w:rFonts w:ascii="Arial" w:hAnsi="Arial" w:cs="Times New Roman"/>
              </w:rPr>
              <w:t>, angst.</w:t>
            </w:r>
          </w:p>
          <w:p w14:paraId="46CD9ACE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Kontraindikationer:</w:t>
            </w:r>
          </w:p>
          <w:p w14:paraId="58B8B2C4" w14:textId="5C614708" w:rsidR="00B3146A" w:rsidRPr="00B8402A" w:rsidRDefault="00B3146A" w:rsidP="00B3146A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 xml:space="preserve">Hjerteinsufficiens, kardiale overledningsforstyrrelser, snævervinklet </w:t>
            </w:r>
            <w:proofErr w:type="spellStart"/>
            <w:r w:rsidRPr="00B8402A">
              <w:rPr>
                <w:rFonts w:ascii="Arial" w:hAnsi="Arial" w:cs="Times New Roman"/>
              </w:rPr>
              <w:t>glaukom</w:t>
            </w:r>
            <w:proofErr w:type="spellEnd"/>
            <w:r w:rsidRPr="00B8402A">
              <w:rPr>
                <w:rFonts w:ascii="Arial" w:hAnsi="Arial" w:cs="Times New Roman"/>
              </w:rPr>
              <w:t>.</w:t>
            </w:r>
            <w:r w:rsidR="003661BD">
              <w:rPr>
                <w:rFonts w:ascii="Arial" w:hAnsi="Arial" w:cs="Times New Roman"/>
              </w:rPr>
              <w:t xml:space="preserve"> Forsigtighed omkring ældre individer.</w:t>
            </w:r>
          </w:p>
          <w:p w14:paraId="40AEF28D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14:paraId="129BF3E7" w14:textId="276DAD65" w:rsidR="00B3146A" w:rsidRPr="00B8402A" w:rsidRDefault="00B3146A" w:rsidP="00B3146A">
            <w:pPr>
              <w:pStyle w:val="Brdtekst"/>
              <w:rPr>
                <w:rFonts w:ascii="Arial" w:hAnsi="Arial" w:cs="Times New Roman"/>
              </w:rPr>
            </w:pPr>
            <w:proofErr w:type="spellStart"/>
            <w:r w:rsidRPr="00B8402A">
              <w:rPr>
                <w:rFonts w:ascii="Arial" w:hAnsi="Arial" w:cs="Times New Roman"/>
              </w:rPr>
              <w:t>Antikolinerge</w:t>
            </w:r>
            <w:proofErr w:type="spellEnd"/>
            <w:r w:rsidRPr="00B8402A">
              <w:rPr>
                <w:rFonts w:ascii="Arial" w:hAnsi="Arial" w:cs="Times New Roman"/>
              </w:rPr>
              <w:t xml:space="preserve"> bivirkninger</w:t>
            </w:r>
            <w:r w:rsidR="006E10CE">
              <w:rPr>
                <w:rFonts w:ascii="Arial" w:hAnsi="Arial" w:cs="Times New Roman"/>
              </w:rPr>
              <w:t xml:space="preserve"> i form af mundtørhed og sløret syn</w:t>
            </w:r>
            <w:r w:rsidRPr="00B8402A">
              <w:rPr>
                <w:rFonts w:ascii="Arial" w:hAnsi="Arial" w:cs="Times New Roman"/>
              </w:rPr>
              <w:t xml:space="preserve">, </w:t>
            </w:r>
            <w:r w:rsidR="003661BD">
              <w:rPr>
                <w:rFonts w:ascii="Arial" w:hAnsi="Arial" w:cs="Times New Roman"/>
              </w:rPr>
              <w:t xml:space="preserve">hos ældre kan udvikles forstoppelse, vandladningsbesvær og konfusion til der kan udvikles til livstruende tilstand. </w:t>
            </w:r>
            <w:proofErr w:type="spellStart"/>
            <w:r w:rsidR="003661BD">
              <w:rPr>
                <w:rFonts w:ascii="Arial" w:hAnsi="Arial" w:cs="Times New Roman"/>
              </w:rPr>
              <w:t>Antiadrengerne</w:t>
            </w:r>
            <w:proofErr w:type="spellEnd"/>
            <w:r w:rsidR="003661BD">
              <w:rPr>
                <w:rFonts w:ascii="Arial" w:hAnsi="Arial" w:cs="Times New Roman"/>
              </w:rPr>
              <w:t xml:space="preserve"> bivirkninger i form af </w:t>
            </w:r>
            <w:proofErr w:type="spellStart"/>
            <w:r w:rsidR="003661BD">
              <w:rPr>
                <w:rFonts w:ascii="Arial" w:hAnsi="Arial" w:cs="Times New Roman"/>
              </w:rPr>
              <w:t>hypotension</w:t>
            </w:r>
            <w:proofErr w:type="spellEnd"/>
            <w:r w:rsidR="003661BD">
              <w:rPr>
                <w:rFonts w:ascii="Arial" w:hAnsi="Arial" w:cs="Times New Roman"/>
              </w:rPr>
              <w:t xml:space="preserve">. </w:t>
            </w:r>
            <w:proofErr w:type="spellStart"/>
            <w:r w:rsidR="003661BD">
              <w:rPr>
                <w:rFonts w:ascii="Arial" w:hAnsi="Arial" w:cs="Times New Roman"/>
              </w:rPr>
              <w:t>A</w:t>
            </w:r>
            <w:r w:rsidRPr="00B8402A">
              <w:rPr>
                <w:rFonts w:ascii="Arial" w:hAnsi="Arial" w:cs="Times New Roman"/>
              </w:rPr>
              <w:t>ntihist</w:t>
            </w:r>
            <w:r w:rsidR="003661BD">
              <w:rPr>
                <w:rFonts w:ascii="Arial" w:hAnsi="Arial" w:cs="Times New Roman"/>
              </w:rPr>
              <w:t>aminerge</w:t>
            </w:r>
            <w:proofErr w:type="spellEnd"/>
            <w:r w:rsidR="003661BD">
              <w:rPr>
                <w:rFonts w:ascii="Arial" w:hAnsi="Arial" w:cs="Times New Roman"/>
              </w:rPr>
              <w:t xml:space="preserve"> bivirkninger fører til vægtøgning.</w:t>
            </w:r>
          </w:p>
          <w:p w14:paraId="03E88EE2" w14:textId="77777777" w:rsidR="00B3146A" w:rsidRPr="003661BD" w:rsidRDefault="00B3146A" w:rsidP="00B3146A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3661BD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Interaktioner:</w:t>
            </w:r>
          </w:p>
          <w:p w14:paraId="0BBE1CCB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</w:rPr>
            </w:pPr>
            <w:r w:rsidRPr="003661BD">
              <w:rPr>
                <w:rFonts w:ascii="Arial" w:hAnsi="Arial" w:cs="Times New Roman"/>
                <w:highlight w:val="yellow"/>
              </w:rPr>
              <w:t xml:space="preserve">Hæmmer visse CYP-enzymer, SSRI (kan medføre </w:t>
            </w:r>
            <w:proofErr w:type="spellStart"/>
            <w:r w:rsidRPr="003661BD">
              <w:rPr>
                <w:rFonts w:ascii="Arial" w:hAnsi="Arial" w:cs="Times New Roman"/>
                <w:highlight w:val="yellow"/>
              </w:rPr>
              <w:t>serotonergt</w:t>
            </w:r>
            <w:proofErr w:type="spellEnd"/>
            <w:r w:rsidRPr="003661BD">
              <w:rPr>
                <w:rFonts w:ascii="Arial" w:hAnsi="Arial" w:cs="Times New Roman"/>
                <w:highlight w:val="yellow"/>
              </w:rPr>
              <w:t xml:space="preserve"> syndrom), autonome symptomer, Adrenalin/noradrenalin</w:t>
            </w:r>
            <w:r w:rsidRPr="00B8402A">
              <w:rPr>
                <w:rFonts w:ascii="Arial" w:hAnsi="Arial" w:cs="Times New Roman"/>
              </w:rPr>
              <w:t xml:space="preserve"> (</w:t>
            </w:r>
            <w:proofErr w:type="spellStart"/>
            <w:r w:rsidRPr="00B8402A">
              <w:rPr>
                <w:rFonts w:ascii="Arial" w:hAnsi="Arial" w:cs="Times New Roman"/>
              </w:rPr>
              <w:t>hypertension</w:t>
            </w:r>
            <w:proofErr w:type="spellEnd"/>
            <w:r w:rsidRPr="00B8402A">
              <w:rPr>
                <w:rFonts w:ascii="Arial" w:hAnsi="Arial" w:cs="Times New Roman"/>
              </w:rPr>
              <w:t>).</w:t>
            </w:r>
          </w:p>
          <w:p w14:paraId="17633D10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Forgiftningssymptomer:</w:t>
            </w:r>
          </w:p>
          <w:p w14:paraId="552A53D2" w14:textId="02B56784" w:rsidR="00B3146A" w:rsidRPr="00B8402A" w:rsidRDefault="00B3146A" w:rsidP="00B3146A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 xml:space="preserve">Hjertestop, </w:t>
            </w:r>
            <w:r w:rsidR="00D41A9F">
              <w:rPr>
                <w:rFonts w:ascii="Arial" w:hAnsi="Arial" w:cs="Times New Roman"/>
              </w:rPr>
              <w:t xml:space="preserve">stor risiko for </w:t>
            </w:r>
            <w:r w:rsidRPr="00B8402A">
              <w:rPr>
                <w:rFonts w:ascii="Arial" w:hAnsi="Arial" w:cs="Times New Roman"/>
              </w:rPr>
              <w:t>død pga. hæmning af overledningstid i hjerte. Voldsomme bivirkninger.</w:t>
            </w:r>
          </w:p>
          <w:p w14:paraId="53DE844B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Forgiftningsbehandling:</w:t>
            </w:r>
          </w:p>
          <w:p w14:paraId="1A860565" w14:textId="53A65DDE" w:rsidR="00B3146A" w:rsidRPr="00B8402A" w:rsidRDefault="00B3146A" w:rsidP="00B3146A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>Observation, aktivt ku</w:t>
            </w:r>
            <w:r w:rsidR="003661BD">
              <w:rPr>
                <w:rFonts w:ascii="Arial" w:hAnsi="Arial" w:cs="Times New Roman"/>
              </w:rPr>
              <w:t>l, ventrik</w:t>
            </w:r>
            <w:r w:rsidRPr="00B8402A">
              <w:rPr>
                <w:rFonts w:ascii="Arial" w:hAnsi="Arial" w:cs="Times New Roman"/>
              </w:rPr>
              <w:t>e</w:t>
            </w:r>
            <w:r w:rsidR="003661BD">
              <w:rPr>
                <w:rFonts w:ascii="Arial" w:hAnsi="Arial" w:cs="Times New Roman"/>
              </w:rPr>
              <w:t>l</w:t>
            </w:r>
            <w:r w:rsidRPr="00B8402A">
              <w:rPr>
                <w:rFonts w:ascii="Arial" w:hAnsi="Arial" w:cs="Times New Roman"/>
              </w:rPr>
              <w:t>tømning.</w:t>
            </w:r>
          </w:p>
          <w:p w14:paraId="2289A67F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proofErr w:type="spellStart"/>
            <w:r w:rsidRPr="00B8402A">
              <w:rPr>
                <w:rFonts w:ascii="Arial" w:hAnsi="Arial" w:cs="Times New Roman"/>
                <w:i/>
                <w:iCs/>
                <w:u w:val="single"/>
              </w:rPr>
              <w:t>Farmakokinetik</w:t>
            </w:r>
            <w:proofErr w:type="spellEnd"/>
            <w:r w:rsidRPr="00B8402A">
              <w:rPr>
                <w:rFonts w:ascii="Arial" w:hAnsi="Arial" w:cs="Times New Roman"/>
                <w:i/>
                <w:iCs/>
                <w:u w:val="single"/>
              </w:rPr>
              <w:t>:</w:t>
            </w:r>
          </w:p>
          <w:p w14:paraId="15C50F76" w14:textId="7B5CB648" w:rsidR="00B3146A" w:rsidRPr="00B8402A" w:rsidRDefault="00B3146A" w:rsidP="00B3146A">
            <w:pPr>
              <w:pStyle w:val="Brdtekst"/>
              <w:numPr>
                <w:ilvl w:val="0"/>
                <w:numId w:val="1"/>
              </w:numPr>
              <w:rPr>
                <w:rFonts w:ascii="Arial" w:eastAsia="Helvetica" w:hAnsi="Arial" w:cs="Times New Roman"/>
                <w:position w:val="4"/>
              </w:rPr>
            </w:pPr>
            <w:r w:rsidRPr="00B8402A">
              <w:rPr>
                <w:rFonts w:ascii="Arial" w:hAnsi="Arial" w:cs="Times New Roman"/>
              </w:rPr>
              <w:t xml:space="preserve">Absorption; ca. 100 %, </w:t>
            </w:r>
            <w:r w:rsidR="001A791E">
              <w:rPr>
                <w:rFonts w:ascii="Arial" w:hAnsi="Arial" w:cs="Times New Roman"/>
              </w:rPr>
              <w:t xml:space="preserve">Biotilgængelighed er kun 20-50 % </w:t>
            </w:r>
            <w:r w:rsidRPr="00B8402A">
              <w:rPr>
                <w:rFonts w:ascii="Arial" w:hAnsi="Arial" w:cs="Times New Roman"/>
              </w:rPr>
              <w:t xml:space="preserve">pga. </w:t>
            </w:r>
            <w:proofErr w:type="spellStart"/>
            <w:r w:rsidRPr="00B8402A">
              <w:rPr>
                <w:rFonts w:ascii="Arial" w:hAnsi="Arial" w:cs="Times New Roman"/>
              </w:rPr>
              <w:t>firstpass</w:t>
            </w:r>
            <w:proofErr w:type="spellEnd"/>
            <w:r w:rsidRPr="00B8402A">
              <w:rPr>
                <w:rFonts w:ascii="Arial" w:hAnsi="Arial" w:cs="Times New Roman"/>
              </w:rPr>
              <w:t xml:space="preserve"> metabolisme. </w:t>
            </w:r>
          </w:p>
          <w:p w14:paraId="43EED39F" w14:textId="77777777" w:rsidR="00B3146A" w:rsidRPr="00B8402A" w:rsidRDefault="00B3146A" w:rsidP="00B3146A">
            <w:pPr>
              <w:pStyle w:val="Brdtekst"/>
              <w:numPr>
                <w:ilvl w:val="0"/>
                <w:numId w:val="1"/>
              </w:numPr>
              <w:rPr>
                <w:rFonts w:ascii="Arial" w:eastAsia="Helvetica" w:hAnsi="Arial" w:cs="Times New Roman"/>
                <w:position w:val="4"/>
              </w:rPr>
            </w:pPr>
            <w:r w:rsidRPr="00B8402A">
              <w:rPr>
                <w:rFonts w:ascii="Arial" w:hAnsi="Arial" w:cs="Times New Roman"/>
              </w:rPr>
              <w:t xml:space="preserve">Distribution; Hurtig. </w:t>
            </w:r>
          </w:p>
          <w:p w14:paraId="3C39459E" w14:textId="2EC9E956" w:rsidR="00B3146A" w:rsidRPr="00B8402A" w:rsidRDefault="00B3146A" w:rsidP="00B3146A">
            <w:pPr>
              <w:pStyle w:val="Brdtekst"/>
              <w:numPr>
                <w:ilvl w:val="0"/>
                <w:numId w:val="1"/>
              </w:numPr>
              <w:rPr>
                <w:rFonts w:ascii="Arial" w:eastAsia="Helvetica" w:hAnsi="Arial" w:cs="Times New Roman"/>
                <w:position w:val="4"/>
              </w:rPr>
            </w:pPr>
            <w:r w:rsidRPr="00B8402A">
              <w:rPr>
                <w:rFonts w:ascii="Arial" w:hAnsi="Arial" w:cs="Times New Roman"/>
              </w:rPr>
              <w:t xml:space="preserve">Elimination; </w:t>
            </w:r>
            <w:proofErr w:type="spellStart"/>
            <w:r w:rsidRPr="00B8402A">
              <w:rPr>
                <w:rFonts w:ascii="Arial" w:hAnsi="Arial" w:cs="Times New Roman"/>
              </w:rPr>
              <w:t>Metaboliseres</w:t>
            </w:r>
            <w:proofErr w:type="spellEnd"/>
            <w:r w:rsidRPr="00B8402A">
              <w:rPr>
                <w:rFonts w:ascii="Arial" w:hAnsi="Arial" w:cs="Times New Roman"/>
              </w:rPr>
              <w:t xml:space="preserve"> i lever</w:t>
            </w:r>
            <w:r w:rsidR="001A791E">
              <w:rPr>
                <w:rFonts w:ascii="Arial" w:hAnsi="Arial" w:cs="Times New Roman"/>
              </w:rPr>
              <w:t xml:space="preserve"> vha. CYP-systemet</w:t>
            </w:r>
            <w:r w:rsidRPr="00B8402A">
              <w:rPr>
                <w:rFonts w:ascii="Arial" w:hAnsi="Arial" w:cs="Times New Roman"/>
              </w:rPr>
              <w:t>. Dosis skal derfor nedsættes hos gamle mennesker.</w:t>
            </w:r>
          </w:p>
          <w:p w14:paraId="7C30837B" w14:textId="77777777" w:rsidR="00B3146A" w:rsidRPr="00B8402A" w:rsidRDefault="00B3146A" w:rsidP="00B3146A">
            <w:pPr>
              <w:pStyle w:val="Brdtekst"/>
              <w:numPr>
                <w:ilvl w:val="0"/>
                <w:numId w:val="1"/>
              </w:numPr>
              <w:rPr>
                <w:rFonts w:ascii="Arial" w:eastAsia="Helvetica" w:hAnsi="Arial" w:cs="Times New Roman"/>
                <w:position w:val="4"/>
              </w:rPr>
            </w:pPr>
            <w:r w:rsidRPr="00B8402A">
              <w:rPr>
                <w:rFonts w:ascii="Arial" w:hAnsi="Arial" w:cs="Times New Roman"/>
              </w:rPr>
              <w:t>Anslagstid; 2-4 uger.</w:t>
            </w:r>
          </w:p>
          <w:p w14:paraId="6C30F1A7" w14:textId="77777777" w:rsidR="00B3146A" w:rsidRPr="00B8402A" w:rsidRDefault="00B3146A" w:rsidP="00B3146A">
            <w:pPr>
              <w:pStyle w:val="Brdtekst"/>
              <w:numPr>
                <w:ilvl w:val="0"/>
                <w:numId w:val="1"/>
              </w:numPr>
              <w:rPr>
                <w:rFonts w:ascii="Arial" w:eastAsia="Helvetica" w:hAnsi="Arial" w:cs="Times New Roman"/>
                <w:position w:val="4"/>
              </w:rPr>
            </w:pPr>
            <w:r w:rsidRPr="00B8402A">
              <w:rPr>
                <w:rFonts w:ascii="Arial" w:hAnsi="Arial" w:cs="Times New Roman"/>
              </w:rPr>
              <w:t>Halveringstid; 20-30 timer.</w:t>
            </w:r>
          </w:p>
          <w:p w14:paraId="2CB38A22" w14:textId="77777777" w:rsidR="00B3146A" w:rsidRPr="00B8402A" w:rsidRDefault="00B3146A" w:rsidP="00B3146A">
            <w:pPr>
              <w:pStyle w:val="Brdtekst"/>
              <w:numPr>
                <w:ilvl w:val="0"/>
                <w:numId w:val="2"/>
              </w:numPr>
              <w:rPr>
                <w:rFonts w:ascii="Arial" w:eastAsia="Helvetica" w:hAnsi="Arial" w:cs="Times New Roman"/>
                <w:position w:val="4"/>
              </w:rPr>
            </w:pPr>
            <w:r w:rsidRPr="00B8402A">
              <w:rPr>
                <w:rFonts w:ascii="Arial" w:hAnsi="Arial" w:cs="Times New Roman"/>
              </w:rPr>
              <w:t>Dosis; 75-200 mg/dag.</w:t>
            </w:r>
          </w:p>
          <w:p w14:paraId="7EC6F491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</w:rPr>
            </w:pPr>
          </w:p>
          <w:p w14:paraId="31A1640D" w14:textId="6F61163B" w:rsidR="00B3146A" w:rsidRPr="00B8402A" w:rsidRDefault="00B8402A" w:rsidP="00B3146A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r w:rsidRPr="00B8402A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SSRI</w:t>
            </w:r>
            <w:r w:rsidR="00E10BA8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 xml:space="preserve"> </w:t>
            </w:r>
          </w:p>
          <w:p w14:paraId="1788067D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586DB2FD" w14:textId="2A478441" w:rsidR="00B3146A" w:rsidRPr="00B8402A" w:rsidRDefault="00E10BA8" w:rsidP="00B3146A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Er en sele</w:t>
            </w:r>
            <w:r w:rsidR="001A791E">
              <w:rPr>
                <w:rFonts w:ascii="Arial" w:hAnsi="Arial" w:cs="Times New Roman"/>
              </w:rPr>
              <w:t xml:space="preserve">ktiv </w:t>
            </w:r>
            <w:proofErr w:type="spellStart"/>
            <w:r w:rsidR="001A791E">
              <w:rPr>
                <w:rFonts w:ascii="Arial" w:hAnsi="Arial" w:cs="Times New Roman"/>
              </w:rPr>
              <w:t>serotonin</w:t>
            </w:r>
            <w:proofErr w:type="spellEnd"/>
            <w:r w:rsidR="001A791E">
              <w:rPr>
                <w:rFonts w:ascii="Arial" w:hAnsi="Arial" w:cs="Times New Roman"/>
              </w:rPr>
              <w:t xml:space="preserve"> optagelseshæmmer. SSRI blokker for genoptag af </w:t>
            </w:r>
            <w:proofErr w:type="spellStart"/>
            <w:r w:rsidR="001A791E">
              <w:rPr>
                <w:rFonts w:ascii="Arial" w:hAnsi="Arial" w:cs="Times New Roman"/>
              </w:rPr>
              <w:t>serotonin</w:t>
            </w:r>
            <w:proofErr w:type="spellEnd"/>
            <w:r w:rsidR="001A791E">
              <w:rPr>
                <w:rFonts w:ascii="Arial" w:hAnsi="Arial" w:cs="Times New Roman"/>
              </w:rPr>
              <w:t xml:space="preserve"> hvorved signalstoffets aktivitet øges. Disse lægemidler har også andre </w:t>
            </w:r>
            <w:proofErr w:type="spellStart"/>
            <w:r w:rsidR="001A791E">
              <w:rPr>
                <w:rFonts w:ascii="Arial" w:hAnsi="Arial" w:cs="Times New Roman"/>
              </w:rPr>
              <w:t>farkodynamsike</w:t>
            </w:r>
            <w:proofErr w:type="spellEnd"/>
            <w:r w:rsidR="001A791E">
              <w:rPr>
                <w:rFonts w:ascii="Arial" w:hAnsi="Arial" w:cs="Times New Roman"/>
              </w:rPr>
              <w:t xml:space="preserve"> virkninger som især påvirker deres bivirkningsprofil. </w:t>
            </w:r>
          </w:p>
          <w:p w14:paraId="03787BFD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lastRenderedPageBreak/>
              <w:t>Indikationer:</w:t>
            </w:r>
          </w:p>
          <w:p w14:paraId="403957DA" w14:textId="33368ED4" w:rsidR="00B3146A" w:rsidRPr="00B8402A" w:rsidRDefault="003B144D" w:rsidP="00B3146A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SSRI er førstevalget af </w:t>
            </w:r>
            <w:proofErr w:type="spellStart"/>
            <w:r>
              <w:rPr>
                <w:rFonts w:ascii="Arial" w:hAnsi="Arial" w:cs="Times New Roman"/>
              </w:rPr>
              <w:t>antidepressiva</w:t>
            </w:r>
            <w:proofErr w:type="spellEnd"/>
            <w:r>
              <w:rPr>
                <w:rFonts w:ascii="Arial" w:hAnsi="Arial" w:cs="Times New Roman"/>
              </w:rPr>
              <w:t xml:space="preserve"> ved middelsvær til</w:t>
            </w:r>
            <w:r w:rsidR="00B3146A" w:rsidRPr="00B8402A">
              <w:rPr>
                <w:rFonts w:ascii="Arial" w:hAnsi="Arial" w:cs="Times New Roman"/>
              </w:rPr>
              <w:t xml:space="preserve"> svær de</w:t>
            </w:r>
            <w:r>
              <w:rPr>
                <w:rFonts w:ascii="Arial" w:hAnsi="Arial" w:cs="Times New Roman"/>
              </w:rPr>
              <w:t xml:space="preserve">pression uden </w:t>
            </w:r>
            <w:proofErr w:type="spellStart"/>
            <w:r>
              <w:rPr>
                <w:rFonts w:ascii="Arial" w:hAnsi="Arial" w:cs="Times New Roman"/>
              </w:rPr>
              <w:t>melakolisymptomer</w:t>
            </w:r>
            <w:proofErr w:type="spellEnd"/>
            <w:r w:rsidR="00E63BCC">
              <w:rPr>
                <w:rFonts w:ascii="Arial" w:hAnsi="Arial" w:cs="Times New Roman"/>
              </w:rPr>
              <w:t xml:space="preserve"> (søvnforstyrrelser, vægttab osv.)</w:t>
            </w:r>
            <w:r>
              <w:rPr>
                <w:rFonts w:ascii="Arial" w:hAnsi="Arial" w:cs="Times New Roman"/>
              </w:rPr>
              <w:t>. Derudover anvendes de ved</w:t>
            </w:r>
            <w:r w:rsidR="00B3146A" w:rsidRPr="00B8402A">
              <w:rPr>
                <w:rFonts w:ascii="Arial" w:hAnsi="Arial" w:cs="Times New Roman"/>
              </w:rPr>
              <w:t xml:space="preserve"> anoreksi, bulimi, angst, </w:t>
            </w:r>
            <w:proofErr w:type="spellStart"/>
            <w:r w:rsidR="00B3146A" w:rsidRPr="00B8402A">
              <w:rPr>
                <w:rFonts w:ascii="Arial" w:hAnsi="Arial" w:cs="Times New Roman"/>
              </w:rPr>
              <w:t>neurogene</w:t>
            </w:r>
            <w:proofErr w:type="spellEnd"/>
            <w:r w:rsidR="00B3146A" w:rsidRPr="00B8402A">
              <w:rPr>
                <w:rFonts w:ascii="Arial" w:hAnsi="Arial" w:cs="Times New Roman"/>
              </w:rPr>
              <w:t xml:space="preserve"> smerter.</w:t>
            </w:r>
          </w:p>
          <w:p w14:paraId="72EC0FD9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14:paraId="6528E6E0" w14:textId="76996CF6" w:rsidR="00B3146A" w:rsidRPr="00B8402A" w:rsidRDefault="003972DD" w:rsidP="00B3146A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Har færre og mindre alvorlige bivirkninger en</w:t>
            </w:r>
            <w:r w:rsidR="00793CE9">
              <w:rPr>
                <w:rFonts w:ascii="Arial" w:hAnsi="Arial" w:cs="Times New Roman"/>
              </w:rPr>
              <w:t>d</w:t>
            </w:r>
            <w:r>
              <w:rPr>
                <w:rFonts w:ascii="Arial" w:hAnsi="Arial" w:cs="Times New Roman"/>
              </w:rPr>
              <w:t xml:space="preserve"> TCA, hvorfor de er bedre til ældre. Bivirkninger omfatter grundet den øgede </w:t>
            </w:r>
            <w:proofErr w:type="spellStart"/>
            <w:r>
              <w:rPr>
                <w:rFonts w:ascii="Arial" w:hAnsi="Arial" w:cs="Times New Roman"/>
              </w:rPr>
              <w:t>serotonin</w:t>
            </w:r>
            <w:proofErr w:type="spellEnd"/>
            <w:r>
              <w:rPr>
                <w:rFonts w:ascii="Arial" w:hAnsi="Arial" w:cs="Times New Roman"/>
              </w:rPr>
              <w:t xml:space="preserve"> aktivitet </w:t>
            </w:r>
            <w:r w:rsidR="00B3146A" w:rsidRPr="00B8402A">
              <w:rPr>
                <w:rFonts w:ascii="Arial" w:hAnsi="Arial" w:cs="Times New Roman"/>
              </w:rPr>
              <w:t>hovedpine, kvalme, opkastning, søvnforstyrrelser.</w:t>
            </w:r>
          </w:p>
          <w:p w14:paraId="6D2E00B4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Interaktioner:</w:t>
            </w:r>
          </w:p>
          <w:p w14:paraId="18DDF7B9" w14:textId="5765A8A2" w:rsidR="00B3146A" w:rsidRPr="00B8402A" w:rsidRDefault="00907322" w:rsidP="00B3146A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Ved sam</w:t>
            </w:r>
            <w:r w:rsidR="00F266B1">
              <w:rPr>
                <w:rFonts w:ascii="Arial" w:hAnsi="Arial" w:cs="Times New Roman"/>
              </w:rPr>
              <w:t xml:space="preserve">tidig behandling med </w:t>
            </w:r>
            <w:proofErr w:type="spellStart"/>
            <w:r w:rsidR="00F266B1">
              <w:rPr>
                <w:rFonts w:ascii="Arial" w:hAnsi="Arial" w:cs="Times New Roman"/>
              </w:rPr>
              <w:t>serotonergt</w:t>
            </w:r>
            <w:proofErr w:type="spellEnd"/>
            <w:r w:rsidR="00F266B1">
              <w:rPr>
                <w:rFonts w:ascii="Arial" w:hAnsi="Arial" w:cs="Times New Roman"/>
              </w:rPr>
              <w:t xml:space="preserve"> virkende </w:t>
            </w:r>
            <w:proofErr w:type="spellStart"/>
            <w:r w:rsidR="00F266B1">
              <w:rPr>
                <w:rFonts w:ascii="Arial" w:hAnsi="Arial" w:cs="Times New Roman"/>
              </w:rPr>
              <w:t>farmaka</w:t>
            </w:r>
            <w:proofErr w:type="spellEnd"/>
            <w:r w:rsidR="00F266B1">
              <w:rPr>
                <w:rFonts w:ascii="Arial" w:hAnsi="Arial" w:cs="Times New Roman"/>
              </w:rPr>
              <w:t xml:space="preserve"> er der risiko for udvikling af </w:t>
            </w:r>
            <w:proofErr w:type="spellStart"/>
            <w:r w:rsidR="00B3146A" w:rsidRPr="00B8402A">
              <w:rPr>
                <w:rFonts w:ascii="Arial" w:hAnsi="Arial" w:cs="Times New Roman"/>
              </w:rPr>
              <w:t>seroton</w:t>
            </w:r>
            <w:r w:rsidR="00793CE9">
              <w:rPr>
                <w:rFonts w:ascii="Arial" w:hAnsi="Arial" w:cs="Times New Roman"/>
              </w:rPr>
              <w:t>in</w:t>
            </w:r>
            <w:proofErr w:type="spellEnd"/>
            <w:r w:rsidR="00B3146A" w:rsidRPr="00B8402A">
              <w:rPr>
                <w:rFonts w:ascii="Arial" w:hAnsi="Arial" w:cs="Times New Roman"/>
              </w:rPr>
              <w:t xml:space="preserve"> syndrom. </w:t>
            </w:r>
          </w:p>
          <w:p w14:paraId="16753147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Forgiftningssymptomer:</w:t>
            </w:r>
          </w:p>
          <w:p w14:paraId="28F025B2" w14:textId="1BCC6650" w:rsidR="00B3146A" w:rsidRPr="00B8402A" w:rsidRDefault="00907322" w:rsidP="00B3146A">
            <w:pPr>
              <w:pStyle w:val="Brdtekst"/>
              <w:rPr>
                <w:rFonts w:ascii="Arial" w:hAnsi="Arial" w:cs="Times New Roman"/>
              </w:rPr>
            </w:pPr>
            <w:proofErr w:type="spellStart"/>
            <w:r>
              <w:rPr>
                <w:rFonts w:ascii="Arial" w:hAnsi="Arial" w:cs="Times New Roman"/>
              </w:rPr>
              <w:t>Serotonin</w:t>
            </w:r>
            <w:proofErr w:type="spellEnd"/>
            <w:r>
              <w:rPr>
                <w:rFonts w:ascii="Arial" w:hAnsi="Arial" w:cs="Times New Roman"/>
              </w:rPr>
              <w:t xml:space="preserve"> syndrom</w:t>
            </w:r>
            <w:r w:rsidR="00F266B1">
              <w:rPr>
                <w:rFonts w:ascii="Arial" w:hAnsi="Arial" w:cs="Times New Roman"/>
              </w:rPr>
              <w:t xml:space="preserve"> med temperaturstigninger, muskeltrækninger og </w:t>
            </w:r>
            <w:proofErr w:type="spellStart"/>
            <w:r w:rsidR="00F266B1">
              <w:rPr>
                <w:rFonts w:ascii="Arial" w:hAnsi="Arial" w:cs="Times New Roman"/>
              </w:rPr>
              <w:t>bevidsthedsp</w:t>
            </w:r>
            <w:r w:rsidR="00B2461C">
              <w:rPr>
                <w:rFonts w:ascii="Arial" w:hAnsi="Arial" w:cs="Times New Roman"/>
              </w:rPr>
              <w:t>S</w:t>
            </w:r>
            <w:r w:rsidR="00F266B1">
              <w:rPr>
                <w:rFonts w:ascii="Arial" w:hAnsi="Arial" w:cs="Times New Roman"/>
              </w:rPr>
              <w:t>lmring</w:t>
            </w:r>
            <w:proofErr w:type="spellEnd"/>
            <w:r w:rsidR="00F266B1">
              <w:rPr>
                <w:rFonts w:ascii="Arial" w:hAnsi="Arial" w:cs="Times New Roman"/>
              </w:rPr>
              <w:t xml:space="preserve"> -</w:t>
            </w:r>
            <w:r>
              <w:rPr>
                <w:rFonts w:ascii="Arial" w:hAnsi="Arial" w:cs="Times New Roman"/>
              </w:rPr>
              <w:t xml:space="preserve"> kan være livstruende</w:t>
            </w:r>
          </w:p>
          <w:p w14:paraId="1FE2DA49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proofErr w:type="spellStart"/>
            <w:r w:rsidRPr="00B8402A">
              <w:rPr>
                <w:rFonts w:ascii="Arial" w:hAnsi="Arial" w:cs="Times New Roman"/>
                <w:i/>
                <w:iCs/>
                <w:u w:val="single"/>
              </w:rPr>
              <w:t>Farmakokinetik</w:t>
            </w:r>
            <w:proofErr w:type="spellEnd"/>
            <w:r w:rsidRPr="00B8402A">
              <w:rPr>
                <w:rFonts w:ascii="Arial" w:hAnsi="Arial" w:cs="Times New Roman"/>
                <w:i/>
                <w:iCs/>
                <w:u w:val="single"/>
              </w:rPr>
              <w:t>:</w:t>
            </w:r>
          </w:p>
          <w:p w14:paraId="5CDCD3F9" w14:textId="122F3B3E" w:rsidR="00B3146A" w:rsidRPr="00B8402A" w:rsidRDefault="0009651E" w:rsidP="00B3146A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Som TCA, men:</w:t>
            </w:r>
          </w:p>
          <w:p w14:paraId="1EBCCCCD" w14:textId="77777777" w:rsidR="00B3146A" w:rsidRPr="00B8402A" w:rsidRDefault="00B3146A" w:rsidP="00B3146A">
            <w:pPr>
              <w:pStyle w:val="Brdtekst"/>
              <w:numPr>
                <w:ilvl w:val="0"/>
                <w:numId w:val="3"/>
              </w:numPr>
              <w:rPr>
                <w:rFonts w:ascii="Arial" w:eastAsia="Helvetica" w:hAnsi="Arial" w:cs="Times New Roman"/>
                <w:position w:val="4"/>
              </w:rPr>
            </w:pPr>
            <w:r w:rsidRPr="00B8402A">
              <w:rPr>
                <w:rFonts w:ascii="Arial" w:hAnsi="Arial" w:cs="Times New Roman"/>
              </w:rPr>
              <w:t>Halveringstid; 20-36 timer.</w:t>
            </w:r>
          </w:p>
          <w:p w14:paraId="4C09AA0A" w14:textId="77777777" w:rsidR="00B3146A" w:rsidRPr="00B8402A" w:rsidRDefault="00B3146A" w:rsidP="00B3146A">
            <w:pPr>
              <w:pStyle w:val="Brdtekst"/>
              <w:numPr>
                <w:ilvl w:val="0"/>
                <w:numId w:val="3"/>
              </w:numPr>
              <w:rPr>
                <w:rFonts w:ascii="Arial" w:eastAsia="Helvetica" w:hAnsi="Arial" w:cs="Times New Roman"/>
                <w:position w:val="4"/>
              </w:rPr>
            </w:pPr>
            <w:r w:rsidRPr="00B8402A">
              <w:rPr>
                <w:rFonts w:ascii="Arial" w:hAnsi="Arial" w:cs="Times New Roman"/>
              </w:rPr>
              <w:t>Dosis; 20-200 mg/dag.</w:t>
            </w:r>
          </w:p>
          <w:p w14:paraId="29CD2C1C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</w:rPr>
            </w:pPr>
          </w:p>
          <w:p w14:paraId="3F21E5EB" w14:textId="5F89B900" w:rsidR="00B3146A" w:rsidRPr="00B8402A" w:rsidRDefault="00B8402A" w:rsidP="00B3146A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r w:rsidRPr="00B8402A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SNRI</w:t>
            </w:r>
            <w:r w:rsidR="00AA0D6A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 xml:space="preserve"> </w:t>
            </w:r>
          </w:p>
          <w:p w14:paraId="127E479C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118DD9FB" w14:textId="0B5A0BE6" w:rsidR="00B3146A" w:rsidRPr="00B8402A" w:rsidRDefault="0011002A" w:rsidP="00B3146A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Hæmmer både </w:t>
            </w:r>
            <w:proofErr w:type="spellStart"/>
            <w:r>
              <w:rPr>
                <w:rFonts w:ascii="Arial" w:hAnsi="Arial" w:cs="Times New Roman"/>
              </w:rPr>
              <w:t>serotonin</w:t>
            </w:r>
            <w:proofErr w:type="spellEnd"/>
            <w:r>
              <w:rPr>
                <w:rFonts w:ascii="Arial" w:hAnsi="Arial" w:cs="Times New Roman"/>
              </w:rPr>
              <w:t xml:space="preserve"> og noradrenalin </w:t>
            </w:r>
            <w:proofErr w:type="spellStart"/>
            <w:r>
              <w:rPr>
                <w:rFonts w:ascii="Arial" w:hAnsi="Arial" w:cs="Times New Roman"/>
              </w:rPr>
              <w:t>memrant</w:t>
            </w:r>
            <w:r w:rsidR="001A791E">
              <w:rPr>
                <w:rFonts w:ascii="Arial" w:hAnsi="Arial" w:cs="Times New Roman"/>
              </w:rPr>
              <w:t>ransportere</w:t>
            </w:r>
            <w:proofErr w:type="spellEnd"/>
            <w:r w:rsidR="001A791E">
              <w:rPr>
                <w:rFonts w:ascii="Arial" w:hAnsi="Arial" w:cs="Times New Roman"/>
              </w:rPr>
              <w:t>, hvorved aktiviteten af</w:t>
            </w:r>
            <w:r>
              <w:rPr>
                <w:rFonts w:ascii="Arial" w:hAnsi="Arial" w:cs="Times New Roman"/>
              </w:rPr>
              <w:t xml:space="preserve"> begge signalstoffer øges. Har en beskeden receptorpåvirkning hvorfor </w:t>
            </w:r>
            <w:r w:rsidR="00616921">
              <w:rPr>
                <w:rFonts w:ascii="Arial" w:hAnsi="Arial" w:cs="Times New Roman"/>
              </w:rPr>
              <w:t>bivirknin</w:t>
            </w:r>
            <w:r w:rsidR="001A791E">
              <w:rPr>
                <w:rFonts w:ascii="Arial" w:hAnsi="Arial" w:cs="Times New Roman"/>
              </w:rPr>
              <w:t>gsprofilen også er mere beskeden.</w:t>
            </w:r>
          </w:p>
          <w:p w14:paraId="09F02F67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5E574541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 xml:space="preserve">Depression og angst, </w:t>
            </w:r>
            <w:proofErr w:type="spellStart"/>
            <w:r w:rsidRPr="00B8402A">
              <w:rPr>
                <w:rFonts w:ascii="Arial" w:hAnsi="Arial" w:cs="Times New Roman"/>
              </w:rPr>
              <w:t>neurogene</w:t>
            </w:r>
            <w:proofErr w:type="spellEnd"/>
            <w:r w:rsidRPr="00B8402A">
              <w:rPr>
                <w:rFonts w:ascii="Arial" w:hAnsi="Arial" w:cs="Times New Roman"/>
              </w:rPr>
              <w:t xml:space="preserve"> smerter.</w:t>
            </w:r>
          </w:p>
          <w:p w14:paraId="5508A95A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 xml:space="preserve">Bivirkninger: </w:t>
            </w:r>
          </w:p>
          <w:p w14:paraId="4855BA43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</w:rPr>
            </w:pPr>
            <w:proofErr w:type="spellStart"/>
            <w:r w:rsidRPr="00B8402A">
              <w:rPr>
                <w:rFonts w:ascii="Arial" w:hAnsi="Arial" w:cs="Times New Roman"/>
              </w:rPr>
              <w:t>Sedation</w:t>
            </w:r>
            <w:proofErr w:type="spellEnd"/>
            <w:r w:rsidRPr="00B8402A">
              <w:rPr>
                <w:rFonts w:ascii="Arial" w:hAnsi="Arial" w:cs="Times New Roman"/>
              </w:rPr>
              <w:t xml:space="preserve"> og vægtøgning, ellers det samme som for SSRI. Lav bivirkningsfrekvens.</w:t>
            </w:r>
          </w:p>
          <w:p w14:paraId="1BD76AA4" w14:textId="77777777" w:rsidR="00B3146A" w:rsidRPr="00B8402A" w:rsidRDefault="00B3146A" w:rsidP="00B3146A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proofErr w:type="spellStart"/>
            <w:r w:rsidRPr="00B8402A">
              <w:rPr>
                <w:rFonts w:ascii="Arial" w:hAnsi="Arial" w:cs="Times New Roman"/>
                <w:i/>
                <w:iCs/>
                <w:u w:val="single"/>
              </w:rPr>
              <w:t>Farmakokinetik</w:t>
            </w:r>
            <w:proofErr w:type="spellEnd"/>
            <w:r w:rsidRPr="00B8402A">
              <w:rPr>
                <w:rFonts w:ascii="Arial" w:hAnsi="Arial" w:cs="Times New Roman"/>
                <w:i/>
                <w:iCs/>
                <w:u w:val="single"/>
              </w:rPr>
              <w:t>:</w:t>
            </w:r>
          </w:p>
          <w:p w14:paraId="3222E84D" w14:textId="3F52F59B" w:rsidR="00B3146A" w:rsidRPr="00B8402A" w:rsidRDefault="0009651E" w:rsidP="00B3146A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Som TCA, men:</w:t>
            </w:r>
          </w:p>
          <w:p w14:paraId="003699D5" w14:textId="77777777" w:rsidR="00B3146A" w:rsidRPr="00B8402A" w:rsidRDefault="00B3146A" w:rsidP="00B3146A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</w:rPr>
            </w:pPr>
            <w:r w:rsidRPr="00B8402A">
              <w:rPr>
                <w:rFonts w:ascii="Arial" w:hAnsi="Arial" w:cs="Times New Roman"/>
              </w:rPr>
              <w:t>Halveringstid; 8 timer.</w:t>
            </w:r>
          </w:p>
          <w:p w14:paraId="5F8B6761" w14:textId="68E6BAAE" w:rsidR="005D468E" w:rsidRPr="005D468E" w:rsidRDefault="00B3146A" w:rsidP="00B3146A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</w:rPr>
            </w:pPr>
            <w:r w:rsidRPr="00B8402A">
              <w:rPr>
                <w:rFonts w:ascii="Arial" w:hAnsi="Arial" w:cs="Times New Roman"/>
              </w:rPr>
              <w:t>Dosis; 60-374 mg/dag.</w:t>
            </w:r>
          </w:p>
          <w:p w14:paraId="08033433" w14:textId="77777777" w:rsidR="005D468E" w:rsidRPr="00B8402A" w:rsidRDefault="005D468E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5D468E" w14:paraId="1D6186E7" w14:textId="77777777" w:rsidTr="00D06CE6">
        <w:tc>
          <w:tcPr>
            <w:tcW w:w="4859" w:type="dxa"/>
          </w:tcPr>
          <w:p w14:paraId="0CAFB55D" w14:textId="2A72CEA6" w:rsidR="005D468E" w:rsidRDefault="005D468E">
            <w:pPr>
              <w:rPr>
                <w:rFonts w:ascii="Arial" w:hAnsi="Arial"/>
                <w:b/>
                <w:sz w:val="22"/>
              </w:rPr>
            </w:pPr>
          </w:p>
          <w:p w14:paraId="05F2E3F2" w14:textId="41811ECA" w:rsidR="005D468E" w:rsidRPr="00EA4C34" w:rsidRDefault="005D468E">
            <w:pPr>
              <w:rPr>
                <w:rFonts w:ascii="Arial" w:hAnsi="Arial"/>
                <w:b/>
                <w:sz w:val="22"/>
                <w:szCs w:val="22"/>
                <w:u w:val="single"/>
              </w:rPr>
            </w:pPr>
            <w:proofErr w:type="spellStart"/>
            <w:r w:rsidRPr="00EA4C34">
              <w:rPr>
                <w:rFonts w:ascii="Arial" w:hAnsi="Arial"/>
                <w:b/>
                <w:u w:val="single"/>
              </w:rPr>
              <w:t>Stemingsstabiliserende</w:t>
            </w:r>
            <w:proofErr w:type="spellEnd"/>
            <w:r w:rsidRPr="00EA4C34">
              <w:rPr>
                <w:rFonts w:ascii="Arial" w:hAnsi="Arial"/>
                <w:b/>
                <w:u w:val="single"/>
              </w:rPr>
              <w:t xml:space="preserve"> </w:t>
            </w:r>
            <w:proofErr w:type="spellStart"/>
            <w:r w:rsidRPr="00EA4C34">
              <w:rPr>
                <w:rFonts w:ascii="Arial" w:hAnsi="Arial"/>
                <w:b/>
                <w:u w:val="single"/>
              </w:rPr>
              <w:t>farmaka</w:t>
            </w:r>
            <w:proofErr w:type="spellEnd"/>
            <w:r w:rsidRPr="00EA4C34">
              <w:rPr>
                <w:rFonts w:ascii="Arial" w:hAnsi="Arial"/>
                <w:b/>
                <w:u w:val="single"/>
              </w:rPr>
              <w:t>:</w:t>
            </w:r>
          </w:p>
        </w:tc>
        <w:tc>
          <w:tcPr>
            <w:tcW w:w="4781" w:type="dxa"/>
          </w:tcPr>
          <w:p w14:paraId="4BCD593F" w14:textId="77777777" w:rsidR="005D468E" w:rsidRDefault="005D468E" w:rsidP="005D468E">
            <w:pPr>
              <w:pStyle w:val="Brdtekst"/>
              <w:rPr>
                <w:rFonts w:ascii="Arial" w:hAnsi="Arial" w:cs="Times New Roman"/>
                <w:b/>
                <w:bCs/>
                <w:color w:val="F79646" w:themeColor="accent6"/>
              </w:rPr>
            </w:pPr>
          </w:p>
          <w:p w14:paraId="76949E5E" w14:textId="77777777" w:rsidR="005D468E" w:rsidRPr="00B8402A" w:rsidRDefault="005D468E" w:rsidP="005D468E">
            <w:pPr>
              <w:pStyle w:val="Brdtekst"/>
              <w:rPr>
                <w:rFonts w:ascii="Arial" w:hAnsi="Arial" w:cs="Times New Roman"/>
                <w:b/>
                <w:bCs/>
                <w:i/>
                <w:iCs/>
                <w:color w:val="F79646" w:themeColor="accent6"/>
              </w:rPr>
            </w:pPr>
            <w:proofErr w:type="spellStart"/>
            <w:r w:rsidRPr="00B8402A">
              <w:rPr>
                <w:rFonts w:ascii="Arial" w:hAnsi="Arial" w:cs="Times New Roman"/>
                <w:b/>
                <w:bCs/>
                <w:color w:val="F79646" w:themeColor="accent6"/>
              </w:rPr>
              <w:t>Lithium</w:t>
            </w:r>
            <w:proofErr w:type="spellEnd"/>
          </w:p>
          <w:p w14:paraId="3E8C7156" w14:textId="77777777" w:rsidR="005D468E" w:rsidRPr="00B8402A" w:rsidRDefault="005D468E" w:rsidP="005D468E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7A72CE46" w14:textId="77777777" w:rsidR="00D91FE2" w:rsidRDefault="00D91FE2" w:rsidP="005D468E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Litium er et grundstof der k</w:t>
            </w:r>
            <w:r w:rsidR="005D468E" w:rsidRPr="00B8402A">
              <w:rPr>
                <w:rFonts w:ascii="Arial" w:hAnsi="Arial" w:cs="Times New Roman"/>
              </w:rPr>
              <w:t xml:space="preserve">an </w:t>
            </w:r>
            <w:r>
              <w:rPr>
                <w:rFonts w:ascii="Arial" w:hAnsi="Arial" w:cs="Times New Roman"/>
              </w:rPr>
              <w:t>ind</w:t>
            </w:r>
            <w:r w:rsidR="005D468E" w:rsidRPr="00B8402A">
              <w:rPr>
                <w:rFonts w:ascii="Arial" w:hAnsi="Arial" w:cs="Times New Roman"/>
              </w:rPr>
              <w:t xml:space="preserve">virke på </w:t>
            </w:r>
            <w:r>
              <w:rPr>
                <w:rFonts w:ascii="Arial" w:hAnsi="Arial" w:cs="Times New Roman"/>
              </w:rPr>
              <w:t xml:space="preserve">biologiske processer hvori der indgår </w:t>
            </w:r>
            <w:proofErr w:type="spellStart"/>
            <w:r>
              <w:rPr>
                <w:rFonts w:ascii="Arial" w:hAnsi="Arial" w:cs="Times New Roman"/>
              </w:rPr>
              <w:t>Na</w:t>
            </w:r>
            <w:proofErr w:type="spellEnd"/>
            <w:r>
              <w:rPr>
                <w:rFonts w:ascii="Arial" w:hAnsi="Arial" w:cs="Times New Roman"/>
              </w:rPr>
              <w:t>+, K+, Ca2+ eller</w:t>
            </w:r>
            <w:r w:rsidR="005D468E" w:rsidRPr="00B8402A">
              <w:rPr>
                <w:rFonts w:ascii="Arial" w:hAnsi="Arial" w:cs="Times New Roman"/>
              </w:rPr>
              <w:t xml:space="preserve"> Mg2+. </w:t>
            </w:r>
          </w:p>
          <w:p w14:paraId="2CE4CD61" w14:textId="404308C2" w:rsidR="005D468E" w:rsidRPr="00B8402A" w:rsidRDefault="005D468E" w:rsidP="005D468E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 xml:space="preserve">Øger </w:t>
            </w:r>
            <w:proofErr w:type="spellStart"/>
            <w:r w:rsidRPr="00B8402A">
              <w:rPr>
                <w:rFonts w:ascii="Arial" w:hAnsi="Arial" w:cs="Times New Roman"/>
              </w:rPr>
              <w:t>serotonerg</w:t>
            </w:r>
            <w:proofErr w:type="spellEnd"/>
            <w:r w:rsidRPr="00B8402A">
              <w:rPr>
                <w:rFonts w:ascii="Arial" w:hAnsi="Arial" w:cs="Times New Roman"/>
              </w:rPr>
              <w:t xml:space="preserve"> og </w:t>
            </w:r>
            <w:proofErr w:type="spellStart"/>
            <w:r w:rsidRPr="00B8402A">
              <w:rPr>
                <w:rFonts w:ascii="Arial" w:hAnsi="Arial" w:cs="Times New Roman"/>
              </w:rPr>
              <w:t>noradrenerg</w:t>
            </w:r>
            <w:proofErr w:type="spellEnd"/>
            <w:r w:rsidRPr="00B8402A">
              <w:rPr>
                <w:rFonts w:ascii="Arial" w:hAnsi="Arial" w:cs="Times New Roman"/>
              </w:rPr>
              <w:t xml:space="preserve"> effekt og hæmmer </w:t>
            </w:r>
            <w:proofErr w:type="spellStart"/>
            <w:r w:rsidRPr="00B8402A">
              <w:rPr>
                <w:rFonts w:ascii="Arial" w:hAnsi="Arial" w:cs="Times New Roman"/>
              </w:rPr>
              <w:t>dopaminerg</w:t>
            </w:r>
            <w:proofErr w:type="spellEnd"/>
            <w:r w:rsidRPr="00B8402A">
              <w:rPr>
                <w:rFonts w:ascii="Arial" w:hAnsi="Arial" w:cs="Times New Roman"/>
              </w:rPr>
              <w:t xml:space="preserve"> effekt. Virker på G-proteiner, </w:t>
            </w:r>
            <w:proofErr w:type="spellStart"/>
            <w:r w:rsidRPr="00B8402A">
              <w:rPr>
                <w:rFonts w:ascii="Arial" w:hAnsi="Arial" w:cs="Times New Roman"/>
              </w:rPr>
              <w:t>intracellulær</w:t>
            </w:r>
            <w:proofErr w:type="spellEnd"/>
            <w:r w:rsidRPr="00B8402A">
              <w:rPr>
                <w:rFonts w:ascii="Arial" w:hAnsi="Arial" w:cs="Times New Roman"/>
              </w:rPr>
              <w:t xml:space="preserve"> transmission og PKC.</w:t>
            </w:r>
            <w:r w:rsidR="00D91FE2">
              <w:rPr>
                <w:rFonts w:ascii="Arial" w:hAnsi="Arial" w:cs="Times New Roman"/>
              </w:rPr>
              <w:t xml:space="preserve"> Udover ner</w:t>
            </w:r>
            <w:r w:rsidR="008B5AC0">
              <w:rPr>
                <w:rFonts w:ascii="Arial" w:hAnsi="Arial" w:cs="Times New Roman"/>
              </w:rPr>
              <w:t>vesystemet påvirker litium også en række organsystemer.</w:t>
            </w:r>
          </w:p>
          <w:p w14:paraId="60A7D39C" w14:textId="77777777" w:rsidR="005D468E" w:rsidRPr="00B8402A" w:rsidRDefault="005D468E" w:rsidP="005D468E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216DEB8E" w14:textId="0D6E8595" w:rsidR="005D468E" w:rsidRDefault="005D468E" w:rsidP="005D468E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lastRenderedPageBreak/>
              <w:t>Stemningss</w:t>
            </w:r>
            <w:r w:rsidR="00244EA9">
              <w:rPr>
                <w:rFonts w:ascii="Arial" w:hAnsi="Arial" w:cs="Times New Roman"/>
              </w:rPr>
              <w:t xml:space="preserve">tabiliserende ved den bipolare affektive sindslidelse, kendetegnet ved </w:t>
            </w:r>
            <w:r w:rsidR="004530B1">
              <w:rPr>
                <w:rFonts w:ascii="Arial" w:hAnsi="Arial" w:cs="Times New Roman"/>
              </w:rPr>
              <w:t xml:space="preserve">såvel manier (forhøjet stemningsleje) som depression (formindsket stemningsleje). Primær anvendelsen er forebyggelse af disse sindstilstande. </w:t>
            </w:r>
            <w:r w:rsidRPr="00B8402A">
              <w:rPr>
                <w:rFonts w:ascii="Arial" w:hAnsi="Arial" w:cs="Times New Roman"/>
              </w:rPr>
              <w:t xml:space="preserve"> </w:t>
            </w:r>
          </w:p>
          <w:p w14:paraId="2DE82B68" w14:textId="61AB9E81" w:rsidR="004530B1" w:rsidRPr="00B8402A" w:rsidRDefault="000200DD" w:rsidP="005D468E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Uden for psykiatrien</w:t>
            </w:r>
            <w:r w:rsidR="004530B1">
              <w:rPr>
                <w:rFonts w:ascii="Arial" w:hAnsi="Arial" w:cs="Times New Roman"/>
              </w:rPr>
              <w:t xml:space="preserve"> anvendes det mod klyngehovedpine.</w:t>
            </w:r>
          </w:p>
          <w:p w14:paraId="10F25EEF" w14:textId="77777777" w:rsidR="005D468E" w:rsidRPr="00B8402A" w:rsidRDefault="005D468E" w:rsidP="005D468E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Kontraindikationer:</w:t>
            </w:r>
          </w:p>
          <w:p w14:paraId="3D30C114" w14:textId="1B42FDBA" w:rsidR="005D468E" w:rsidRPr="00B8402A" w:rsidRDefault="00D65020" w:rsidP="005D468E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Ingen d</w:t>
            </w:r>
            <w:r w:rsidR="005D468E" w:rsidRPr="00B8402A">
              <w:rPr>
                <w:rFonts w:ascii="Arial" w:hAnsi="Arial" w:cs="Times New Roman"/>
              </w:rPr>
              <w:t xml:space="preserve">irekte. </w:t>
            </w:r>
            <w:proofErr w:type="spellStart"/>
            <w:r w:rsidR="005D468E" w:rsidRPr="00B8402A">
              <w:rPr>
                <w:rFonts w:ascii="Arial" w:hAnsi="Arial" w:cs="Times New Roman"/>
              </w:rPr>
              <w:t>Myokardieinfarkt</w:t>
            </w:r>
            <w:proofErr w:type="spellEnd"/>
            <w:r w:rsidR="005D468E" w:rsidRPr="00B8402A">
              <w:rPr>
                <w:rFonts w:ascii="Arial" w:hAnsi="Arial" w:cs="Times New Roman"/>
              </w:rPr>
              <w:t xml:space="preserve">, </w:t>
            </w:r>
            <w:proofErr w:type="spellStart"/>
            <w:r w:rsidR="005D468E" w:rsidRPr="00B8402A">
              <w:rPr>
                <w:rFonts w:ascii="Arial" w:hAnsi="Arial" w:cs="Times New Roman"/>
              </w:rPr>
              <w:t>kardielle</w:t>
            </w:r>
            <w:proofErr w:type="spellEnd"/>
            <w:r w:rsidR="005D468E" w:rsidRPr="00B8402A">
              <w:rPr>
                <w:rFonts w:ascii="Arial" w:hAnsi="Arial" w:cs="Times New Roman"/>
              </w:rPr>
              <w:t xml:space="preserve"> ledningsforstyrrelser</w:t>
            </w:r>
            <w:r w:rsidR="00744161">
              <w:rPr>
                <w:rFonts w:ascii="Arial" w:hAnsi="Arial" w:cs="Times New Roman"/>
              </w:rPr>
              <w:t xml:space="preserve">, nedsat </w:t>
            </w:r>
            <w:proofErr w:type="spellStart"/>
            <w:r w:rsidR="00744161">
              <w:rPr>
                <w:rFonts w:ascii="Arial" w:hAnsi="Arial" w:cs="Times New Roman"/>
              </w:rPr>
              <w:t>glomerulær</w:t>
            </w:r>
            <w:proofErr w:type="spellEnd"/>
            <w:r w:rsidR="00744161">
              <w:rPr>
                <w:rFonts w:ascii="Arial" w:hAnsi="Arial" w:cs="Times New Roman"/>
              </w:rPr>
              <w:t xml:space="preserve"> filtration,</w:t>
            </w:r>
            <w:r w:rsidR="004C21BE">
              <w:rPr>
                <w:rFonts w:ascii="Arial" w:hAnsi="Arial" w:cs="Times New Roman"/>
              </w:rPr>
              <w:t xml:space="preserve"> </w:t>
            </w:r>
            <w:r w:rsidR="005D468E" w:rsidRPr="00B8402A">
              <w:rPr>
                <w:rFonts w:ascii="Arial" w:hAnsi="Arial" w:cs="Times New Roman"/>
              </w:rPr>
              <w:t>CNS lidelse, svær akne.</w:t>
            </w:r>
          </w:p>
          <w:p w14:paraId="126BF655" w14:textId="77777777" w:rsidR="005D468E" w:rsidRPr="00B8402A" w:rsidRDefault="005D468E" w:rsidP="005D468E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14:paraId="52D5DB17" w14:textId="0FECA604" w:rsidR="005D468E" w:rsidRPr="00B8402A" w:rsidRDefault="004530B1" w:rsidP="005D468E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Ved den a</w:t>
            </w:r>
            <w:r w:rsidR="000200DD">
              <w:rPr>
                <w:rFonts w:ascii="Arial" w:hAnsi="Arial" w:cs="Times New Roman"/>
              </w:rPr>
              <w:t>k</w:t>
            </w:r>
            <w:r>
              <w:rPr>
                <w:rFonts w:ascii="Arial" w:hAnsi="Arial" w:cs="Times New Roman"/>
              </w:rPr>
              <w:t xml:space="preserve">utte behandling: </w:t>
            </w:r>
            <w:proofErr w:type="spellStart"/>
            <w:r>
              <w:rPr>
                <w:rFonts w:ascii="Arial" w:hAnsi="Arial" w:cs="Times New Roman"/>
              </w:rPr>
              <w:t>Tremor</w:t>
            </w:r>
            <w:proofErr w:type="spellEnd"/>
            <w:r>
              <w:rPr>
                <w:rFonts w:ascii="Arial" w:hAnsi="Arial" w:cs="Times New Roman"/>
              </w:rPr>
              <w:t xml:space="preserve"> og kvalme er hyppigst. </w:t>
            </w:r>
            <w:r w:rsidR="005D468E" w:rsidRPr="00B8402A">
              <w:rPr>
                <w:rFonts w:ascii="Arial" w:hAnsi="Arial" w:cs="Times New Roman"/>
              </w:rPr>
              <w:t xml:space="preserve">Ved langtidsbehandling; </w:t>
            </w:r>
            <w:r>
              <w:rPr>
                <w:rFonts w:ascii="Arial" w:hAnsi="Arial" w:cs="Times New Roman"/>
              </w:rPr>
              <w:t xml:space="preserve">vægtøgning, </w:t>
            </w:r>
            <w:r w:rsidR="005D468E" w:rsidRPr="00B8402A">
              <w:rPr>
                <w:rFonts w:ascii="Arial" w:hAnsi="Arial" w:cs="Times New Roman"/>
              </w:rPr>
              <w:t>dia</w:t>
            </w:r>
            <w:r w:rsidR="009208C5">
              <w:rPr>
                <w:rFonts w:ascii="Arial" w:hAnsi="Arial" w:cs="Times New Roman"/>
              </w:rPr>
              <w:t>r</w:t>
            </w:r>
            <w:r w:rsidR="005D468E" w:rsidRPr="00B8402A">
              <w:rPr>
                <w:rFonts w:ascii="Arial" w:hAnsi="Arial" w:cs="Times New Roman"/>
              </w:rPr>
              <w:t>re, let hukommelsestab.</w:t>
            </w:r>
            <w:r>
              <w:rPr>
                <w:rFonts w:ascii="Arial" w:hAnsi="Arial" w:cs="Times New Roman"/>
              </w:rPr>
              <w:t xml:space="preserve"> </w:t>
            </w:r>
            <w:proofErr w:type="spellStart"/>
            <w:r>
              <w:rPr>
                <w:rFonts w:ascii="Arial" w:hAnsi="Arial" w:cs="Times New Roman"/>
              </w:rPr>
              <w:t>Renale</w:t>
            </w:r>
            <w:proofErr w:type="spellEnd"/>
            <w:r>
              <w:rPr>
                <w:rFonts w:ascii="Arial" w:hAnsi="Arial" w:cs="Times New Roman"/>
              </w:rPr>
              <w:t xml:space="preserve"> bivirkninger er almindeligvis reversible, men efter mange års behandling kan ses nedsat irreversibel nyrefunktion (sjældent hvis bare doseringer overholdes)</w:t>
            </w:r>
            <w:r w:rsidR="00D65020">
              <w:rPr>
                <w:rFonts w:ascii="Arial" w:hAnsi="Arial" w:cs="Times New Roman"/>
              </w:rPr>
              <w:t>.</w:t>
            </w:r>
          </w:p>
          <w:p w14:paraId="7142F4BE" w14:textId="77777777" w:rsidR="005D468E" w:rsidRPr="00B8402A" w:rsidRDefault="005D468E" w:rsidP="005D468E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Interaktioner:</w:t>
            </w:r>
          </w:p>
          <w:p w14:paraId="30B412BD" w14:textId="03E07DF9" w:rsidR="005D468E" w:rsidRPr="00B8402A" w:rsidRDefault="00FA481C" w:rsidP="005D468E">
            <w:pPr>
              <w:pStyle w:val="Brdtekst"/>
              <w:rPr>
                <w:rFonts w:ascii="Arial" w:hAnsi="Arial" w:cs="Times New Roman"/>
              </w:rPr>
            </w:pPr>
            <w:proofErr w:type="spellStart"/>
            <w:r>
              <w:rPr>
                <w:rFonts w:ascii="Arial" w:hAnsi="Arial" w:cs="Times New Roman"/>
              </w:rPr>
              <w:t>Diuretika</w:t>
            </w:r>
            <w:proofErr w:type="spellEnd"/>
            <w:r>
              <w:rPr>
                <w:rFonts w:ascii="Arial" w:hAnsi="Arial" w:cs="Times New Roman"/>
              </w:rPr>
              <w:t>, NSAID og</w:t>
            </w:r>
            <w:r w:rsidR="005D468E" w:rsidRPr="00B8402A">
              <w:rPr>
                <w:rFonts w:ascii="Arial" w:hAnsi="Arial" w:cs="Times New Roman"/>
              </w:rPr>
              <w:t xml:space="preserve"> AC</w:t>
            </w:r>
            <w:r>
              <w:rPr>
                <w:rFonts w:ascii="Arial" w:hAnsi="Arial" w:cs="Times New Roman"/>
              </w:rPr>
              <w:t>E-</w:t>
            </w:r>
            <w:proofErr w:type="spellStart"/>
            <w:r>
              <w:rPr>
                <w:rFonts w:ascii="Arial" w:hAnsi="Arial" w:cs="Times New Roman"/>
              </w:rPr>
              <w:t>hæmmere</w:t>
            </w:r>
            <w:proofErr w:type="spellEnd"/>
            <w:r>
              <w:rPr>
                <w:rFonts w:ascii="Arial" w:hAnsi="Arial" w:cs="Times New Roman"/>
              </w:rPr>
              <w:t xml:space="preserve"> (nedsætter </w:t>
            </w:r>
            <w:proofErr w:type="spellStart"/>
            <w:r>
              <w:rPr>
                <w:rFonts w:ascii="Arial" w:hAnsi="Arial" w:cs="Times New Roman"/>
              </w:rPr>
              <w:t>clearance</w:t>
            </w:r>
            <w:proofErr w:type="spellEnd"/>
            <w:r>
              <w:rPr>
                <w:rFonts w:ascii="Arial" w:hAnsi="Arial" w:cs="Times New Roman"/>
              </w:rPr>
              <w:t>).</w:t>
            </w:r>
            <w:r w:rsidR="005D468E" w:rsidRPr="00B8402A">
              <w:rPr>
                <w:rFonts w:ascii="Arial" w:hAnsi="Arial" w:cs="Times New Roman"/>
              </w:rPr>
              <w:t xml:space="preserve"> </w:t>
            </w:r>
          </w:p>
          <w:p w14:paraId="073F9DED" w14:textId="77777777" w:rsidR="005D468E" w:rsidRPr="00B8402A" w:rsidRDefault="005D468E" w:rsidP="005D468E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Forgiftningssymptomer:</w:t>
            </w:r>
          </w:p>
          <w:p w14:paraId="2E9A4898" w14:textId="3D9E4D76" w:rsidR="005D468E" w:rsidRPr="00B8402A" w:rsidRDefault="007C6D3D" w:rsidP="005D468E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Med stigende doser: Koncentrationsbesvær, træthed, </w:t>
            </w:r>
            <w:proofErr w:type="spellStart"/>
            <w:r>
              <w:rPr>
                <w:rFonts w:ascii="Arial" w:hAnsi="Arial" w:cs="Times New Roman"/>
              </w:rPr>
              <w:t>tremor</w:t>
            </w:r>
            <w:proofErr w:type="spellEnd"/>
            <w:r>
              <w:rPr>
                <w:rFonts w:ascii="Arial" w:hAnsi="Arial" w:cs="Times New Roman"/>
              </w:rPr>
              <w:t xml:space="preserve">, talebesvær og kvalme, konfusion, gangbesvær, opkast, kramper og nyresvigt. Forgiftningen kan være letal eller efterlade kroniske følger især i form af cerebrale symptomer. Obs. risiko for forgiftning øges ved dehydrering eller salttab. </w:t>
            </w:r>
          </w:p>
          <w:p w14:paraId="6FDFAB3C" w14:textId="77777777" w:rsidR="005D468E" w:rsidRPr="00B8402A" w:rsidRDefault="005D468E" w:rsidP="005D468E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proofErr w:type="spellStart"/>
            <w:r w:rsidRPr="00B8402A">
              <w:rPr>
                <w:rFonts w:ascii="Arial" w:hAnsi="Arial" w:cs="Times New Roman"/>
                <w:i/>
                <w:iCs/>
                <w:u w:val="single"/>
              </w:rPr>
              <w:t>Farmakokinetik</w:t>
            </w:r>
            <w:proofErr w:type="spellEnd"/>
            <w:r w:rsidRPr="00B8402A">
              <w:rPr>
                <w:rFonts w:ascii="Arial" w:hAnsi="Arial" w:cs="Times New Roman"/>
                <w:i/>
                <w:iCs/>
                <w:u w:val="single"/>
              </w:rPr>
              <w:t>:</w:t>
            </w:r>
          </w:p>
          <w:p w14:paraId="72B90997" w14:textId="77777777" w:rsidR="005D468E" w:rsidRPr="00B8402A" w:rsidRDefault="005D468E" w:rsidP="005D468E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Times New Roman"/>
                <w:position w:val="4"/>
              </w:rPr>
            </w:pPr>
            <w:r w:rsidRPr="00B8402A">
              <w:rPr>
                <w:rFonts w:ascii="Arial" w:hAnsi="Arial" w:cs="Times New Roman"/>
              </w:rPr>
              <w:t>Absorption; 100 %.</w:t>
            </w:r>
          </w:p>
          <w:p w14:paraId="3FB1DC2B" w14:textId="77777777" w:rsidR="005D468E" w:rsidRPr="00B8402A" w:rsidRDefault="005D468E" w:rsidP="005D468E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Times New Roman"/>
                <w:position w:val="4"/>
              </w:rPr>
            </w:pPr>
            <w:r w:rsidRPr="00B8402A">
              <w:rPr>
                <w:rFonts w:ascii="Arial" w:hAnsi="Arial" w:cs="Times New Roman"/>
              </w:rPr>
              <w:t xml:space="preserve">Distribution; Udskilles </w:t>
            </w:r>
            <w:proofErr w:type="spellStart"/>
            <w:r w:rsidRPr="00B8402A">
              <w:rPr>
                <w:rFonts w:ascii="Arial" w:hAnsi="Arial" w:cs="Times New Roman"/>
              </w:rPr>
              <w:t>uomdannet</w:t>
            </w:r>
            <w:proofErr w:type="spellEnd"/>
            <w:r w:rsidRPr="00B8402A">
              <w:rPr>
                <w:rFonts w:ascii="Arial" w:hAnsi="Arial" w:cs="Times New Roman"/>
              </w:rPr>
              <w:t xml:space="preserve"> </w:t>
            </w:r>
            <w:proofErr w:type="spellStart"/>
            <w:r w:rsidRPr="00B8402A">
              <w:rPr>
                <w:rFonts w:ascii="Arial" w:hAnsi="Arial" w:cs="Times New Roman"/>
              </w:rPr>
              <w:t>renalt</w:t>
            </w:r>
            <w:proofErr w:type="spellEnd"/>
            <w:r w:rsidRPr="00B8402A">
              <w:rPr>
                <w:rFonts w:ascii="Arial" w:hAnsi="Arial" w:cs="Times New Roman"/>
              </w:rPr>
              <w:t xml:space="preserve">. </w:t>
            </w:r>
          </w:p>
          <w:p w14:paraId="25583045" w14:textId="77777777" w:rsidR="005D468E" w:rsidRPr="00B8402A" w:rsidRDefault="005D468E" w:rsidP="005D468E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Times New Roman"/>
                <w:position w:val="4"/>
              </w:rPr>
            </w:pPr>
            <w:proofErr w:type="spellStart"/>
            <w:r w:rsidRPr="00B8402A">
              <w:rPr>
                <w:rFonts w:ascii="Arial" w:hAnsi="Arial" w:cs="Times New Roman"/>
              </w:rPr>
              <w:t>Clearance</w:t>
            </w:r>
            <w:proofErr w:type="spellEnd"/>
            <w:r w:rsidRPr="00B8402A">
              <w:rPr>
                <w:rFonts w:ascii="Arial" w:hAnsi="Arial" w:cs="Times New Roman"/>
              </w:rPr>
              <w:t xml:space="preserve">; 1/3 - 1/4 af den </w:t>
            </w:r>
            <w:proofErr w:type="spellStart"/>
            <w:r w:rsidRPr="00B8402A">
              <w:rPr>
                <w:rFonts w:ascii="Arial" w:hAnsi="Arial" w:cs="Times New Roman"/>
              </w:rPr>
              <w:t>glomerulære</w:t>
            </w:r>
            <w:proofErr w:type="spellEnd"/>
            <w:r w:rsidRPr="00B8402A">
              <w:rPr>
                <w:rFonts w:ascii="Arial" w:hAnsi="Arial" w:cs="Times New Roman"/>
              </w:rPr>
              <w:t xml:space="preserve"> filtrationsrate.</w:t>
            </w:r>
          </w:p>
          <w:p w14:paraId="434087F4" w14:textId="137AAED9" w:rsidR="005D468E" w:rsidRPr="004C21BE" w:rsidRDefault="004C21BE" w:rsidP="005D468E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Times New Roman"/>
                <w:position w:val="4"/>
              </w:rPr>
            </w:pPr>
            <w:r>
              <w:rPr>
                <w:rFonts w:ascii="Arial" w:hAnsi="Arial" w:cs="Times New Roman"/>
              </w:rPr>
              <w:t>Anslagstid; 1-3 timer</w:t>
            </w:r>
            <w:r w:rsidR="005D468E" w:rsidRPr="00B8402A">
              <w:rPr>
                <w:rFonts w:ascii="Arial" w:hAnsi="Arial" w:cs="Times New Roman"/>
              </w:rPr>
              <w:t>.</w:t>
            </w:r>
          </w:p>
          <w:p w14:paraId="6492823D" w14:textId="639B3BF8" w:rsidR="004C21BE" w:rsidRPr="00B8402A" w:rsidRDefault="004C21BE" w:rsidP="005D468E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Times New Roman"/>
                <w:position w:val="4"/>
              </w:rPr>
            </w:pPr>
            <w:r>
              <w:rPr>
                <w:rFonts w:ascii="Arial" w:hAnsi="Arial" w:cs="Times New Roman"/>
              </w:rPr>
              <w:t xml:space="preserve">Elimination: </w:t>
            </w:r>
            <w:proofErr w:type="spellStart"/>
            <w:r>
              <w:rPr>
                <w:rFonts w:ascii="Arial" w:hAnsi="Arial" w:cs="Times New Roman"/>
              </w:rPr>
              <w:t>Uomdannet</w:t>
            </w:r>
            <w:proofErr w:type="spellEnd"/>
            <w:r>
              <w:rPr>
                <w:rFonts w:ascii="Arial" w:hAnsi="Arial" w:cs="Times New Roman"/>
              </w:rPr>
              <w:t xml:space="preserve"> </w:t>
            </w:r>
            <w:proofErr w:type="spellStart"/>
            <w:r>
              <w:rPr>
                <w:rFonts w:ascii="Arial" w:hAnsi="Arial" w:cs="Times New Roman"/>
              </w:rPr>
              <w:t>renalt</w:t>
            </w:r>
            <w:proofErr w:type="spellEnd"/>
            <w:r>
              <w:rPr>
                <w:rFonts w:ascii="Arial" w:hAnsi="Arial" w:cs="Times New Roman"/>
              </w:rPr>
              <w:t xml:space="preserve">. </w:t>
            </w:r>
          </w:p>
          <w:p w14:paraId="1DAC8105" w14:textId="77777777" w:rsidR="005D468E" w:rsidRPr="00E11E5A" w:rsidRDefault="005D468E" w:rsidP="005D468E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E11E5A">
              <w:rPr>
                <w:rFonts w:ascii="Arial" w:hAnsi="Arial" w:cs="Times New Roman"/>
                <w:highlight w:val="yellow"/>
              </w:rPr>
              <w:t>Halveringstid; 10-50 timer.</w:t>
            </w:r>
          </w:p>
          <w:p w14:paraId="7DDE6D70" w14:textId="7AD5D04F" w:rsidR="005D468E" w:rsidRPr="00B8402A" w:rsidRDefault="005D468E" w:rsidP="005D468E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Times New Roman"/>
                <w:position w:val="4"/>
              </w:rPr>
            </w:pPr>
            <w:r w:rsidRPr="00B8402A">
              <w:rPr>
                <w:rFonts w:ascii="Arial" w:hAnsi="Arial" w:cs="Times New Roman"/>
              </w:rPr>
              <w:t>Dosis;</w:t>
            </w:r>
            <w:r w:rsidR="00D65020">
              <w:rPr>
                <w:rFonts w:ascii="Arial" w:hAnsi="Arial" w:cs="Times New Roman"/>
              </w:rPr>
              <w:t xml:space="preserve"> Da litium har et lavt terapeutisk indeks er det vigtigt at dosere med omhu.</w:t>
            </w:r>
            <w:r w:rsidR="00B25924">
              <w:rPr>
                <w:rFonts w:ascii="Arial" w:hAnsi="Arial" w:cs="Times New Roman"/>
              </w:rPr>
              <w:t xml:space="preserve"> Under behandling bør pt. være under observation.</w:t>
            </w:r>
          </w:p>
          <w:p w14:paraId="521F7F3F" w14:textId="77A566D3" w:rsidR="005D468E" w:rsidRPr="00B8402A" w:rsidRDefault="005D468E" w:rsidP="00B25924">
            <w:pPr>
              <w:pStyle w:val="Brdtekst"/>
              <w:rPr>
                <w:rFonts w:ascii="Arial" w:hAnsi="Arial"/>
              </w:rPr>
            </w:pPr>
            <w:r w:rsidRPr="00B8402A">
              <w:rPr>
                <w:rFonts w:ascii="Arial" w:hAnsi="Arial" w:cs="Times New Roman"/>
              </w:rPr>
              <w:tab/>
            </w:r>
          </w:p>
        </w:tc>
      </w:tr>
      <w:tr w:rsidR="00B3146A" w14:paraId="618AF964" w14:textId="77777777" w:rsidTr="00D06CE6">
        <w:tc>
          <w:tcPr>
            <w:tcW w:w="4859" w:type="dxa"/>
          </w:tcPr>
          <w:p w14:paraId="2B8E59C8" w14:textId="01C3F952" w:rsidR="00B3146A" w:rsidRPr="00B8402A" w:rsidRDefault="00B3146A">
            <w:pPr>
              <w:rPr>
                <w:rFonts w:ascii="Arial" w:hAnsi="Arial"/>
                <w:sz w:val="22"/>
                <w:szCs w:val="22"/>
              </w:rPr>
            </w:pPr>
          </w:p>
          <w:p w14:paraId="0F170914" w14:textId="77777777" w:rsidR="00B3146A" w:rsidRPr="00521D86" w:rsidRDefault="00B3146A">
            <w:pPr>
              <w:rPr>
                <w:rFonts w:ascii="Arial" w:hAnsi="Arial"/>
                <w:b/>
                <w:szCs w:val="22"/>
                <w:u w:val="single"/>
              </w:rPr>
            </w:pPr>
            <w:proofErr w:type="spellStart"/>
            <w:r w:rsidRPr="00521D86">
              <w:rPr>
                <w:rFonts w:ascii="Arial" w:hAnsi="Arial"/>
                <w:b/>
                <w:szCs w:val="22"/>
                <w:u w:val="single"/>
              </w:rPr>
              <w:t>Antipsykotika</w:t>
            </w:r>
            <w:proofErr w:type="spellEnd"/>
            <w:r w:rsidRPr="00521D86">
              <w:rPr>
                <w:rFonts w:ascii="Arial" w:hAnsi="Arial"/>
                <w:b/>
                <w:szCs w:val="22"/>
                <w:u w:val="single"/>
              </w:rPr>
              <w:t xml:space="preserve"> </w:t>
            </w:r>
          </w:p>
          <w:p w14:paraId="364C87A3" w14:textId="77777777" w:rsidR="00B3146A" w:rsidRDefault="00B3146A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257336BA" w14:textId="77777777" w:rsidR="004A7585" w:rsidRDefault="004A7585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Klassificering af </w:t>
            </w:r>
            <w:proofErr w:type="spellStart"/>
            <w:r>
              <w:rPr>
                <w:rFonts w:ascii="Arial" w:hAnsi="Arial"/>
                <w:b/>
                <w:sz w:val="22"/>
                <w:szCs w:val="22"/>
              </w:rPr>
              <w:t>antispykotika</w:t>
            </w:r>
            <w:proofErr w:type="spellEnd"/>
            <w:r>
              <w:rPr>
                <w:rFonts w:ascii="Arial" w:hAnsi="Arial"/>
                <w:b/>
                <w:sz w:val="22"/>
                <w:szCs w:val="22"/>
              </w:rPr>
              <w:t xml:space="preserve">: </w:t>
            </w:r>
          </w:p>
          <w:p w14:paraId="50074640" w14:textId="77777777" w:rsidR="00E76CC5" w:rsidRDefault="00E76CC5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421EE66F" w14:textId="77777777" w:rsidR="00E76CC5" w:rsidRDefault="00E76CC5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367AFA5B" w14:textId="77777777" w:rsidR="00E76CC5" w:rsidRDefault="00E76CC5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26E33A38" w14:textId="77777777" w:rsidR="00E76CC5" w:rsidRDefault="00E76CC5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273D23A3" w14:textId="77777777" w:rsidR="00E76CC5" w:rsidRDefault="00E76CC5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00CF2679" w14:textId="77777777" w:rsidR="00E76CC5" w:rsidRDefault="00E76CC5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lastRenderedPageBreak/>
              <w:t xml:space="preserve">Stofferne: </w:t>
            </w:r>
          </w:p>
          <w:p w14:paraId="04B2009D" w14:textId="77777777" w:rsidR="004F14EA" w:rsidRDefault="004F14EA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3BCE48BF" w14:textId="77777777" w:rsidR="004F14EA" w:rsidRDefault="004F14EA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73C9ACB0" w14:textId="77777777" w:rsidR="004F14EA" w:rsidRDefault="004F14EA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1AF2CBF5" w14:textId="77777777" w:rsidR="004F14EA" w:rsidRDefault="004F14EA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2603A921" w14:textId="77777777" w:rsidR="004F14EA" w:rsidRDefault="004F14EA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2EC6620B" w14:textId="7C2FD544" w:rsidR="004F14EA" w:rsidRPr="00B8402A" w:rsidRDefault="004F14EA">
            <w:pPr>
              <w:rPr>
                <w:rFonts w:ascii="Arial" w:hAnsi="Arial"/>
                <w:b/>
                <w:sz w:val="22"/>
                <w:szCs w:val="22"/>
              </w:rPr>
            </w:pPr>
            <w:r w:rsidRPr="004F14EA">
              <w:rPr>
                <w:rFonts w:ascii="Arial" w:hAnsi="Arial"/>
                <w:b/>
                <w:noProof/>
                <w:sz w:val="22"/>
                <w:szCs w:val="22"/>
                <w:lang w:val="en-US" w:eastAsia="da-DK"/>
              </w:rPr>
              <w:drawing>
                <wp:inline distT="0" distB="0" distL="0" distR="0" wp14:anchorId="52158DDC" wp14:editId="31A792A8">
                  <wp:extent cx="2853166" cy="1896701"/>
                  <wp:effectExtent l="0" t="0" r="0" b="8890"/>
                  <wp:docPr id="10" name="Picture 2" descr="Figure2 Neuron pathw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2" descr="Figure2 Neuron pathw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55099" t="13275" b="291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5805" cy="1898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1" w:type="dxa"/>
          </w:tcPr>
          <w:p w14:paraId="564062FA" w14:textId="77777777" w:rsidR="00B3146A" w:rsidRPr="00B8402A" w:rsidRDefault="00B3146A">
            <w:pPr>
              <w:rPr>
                <w:rFonts w:ascii="Arial" w:hAnsi="Arial"/>
                <w:sz w:val="22"/>
                <w:szCs w:val="22"/>
              </w:rPr>
            </w:pPr>
          </w:p>
          <w:p w14:paraId="639EC9AD" w14:textId="77777777" w:rsidR="00C56665" w:rsidRDefault="00C56665" w:rsidP="00C56665">
            <w:pPr>
              <w:pStyle w:val="Brdtekst"/>
              <w:rPr>
                <w:rFonts w:ascii="Arial" w:hAnsi="Arial" w:cs="Times New Roman"/>
                <w:bCs/>
              </w:rPr>
            </w:pPr>
          </w:p>
          <w:p w14:paraId="595DC658" w14:textId="77777777" w:rsidR="004A7585" w:rsidRDefault="004A7585" w:rsidP="00C56665">
            <w:pPr>
              <w:pStyle w:val="Brdtekst"/>
              <w:rPr>
                <w:rFonts w:ascii="Arial" w:hAnsi="Arial" w:cs="Times New Roman"/>
                <w:bCs/>
              </w:rPr>
            </w:pPr>
          </w:p>
          <w:p w14:paraId="7D8F0EBB" w14:textId="33449206" w:rsidR="004A7585" w:rsidRDefault="00E76CC5" w:rsidP="00C56665">
            <w:pPr>
              <w:pStyle w:val="Brdtekst"/>
              <w:rPr>
                <w:rFonts w:ascii="Arial" w:hAnsi="Arial" w:cs="Times New Roman"/>
                <w:bCs/>
              </w:rPr>
            </w:pPr>
            <w:r>
              <w:rPr>
                <w:rFonts w:ascii="Arial" w:hAnsi="Arial" w:cs="Times New Roman"/>
                <w:bCs/>
              </w:rPr>
              <w:t xml:space="preserve">Den hyppigste anvendte klassificering af </w:t>
            </w:r>
            <w:proofErr w:type="spellStart"/>
            <w:r>
              <w:rPr>
                <w:rFonts w:ascii="Arial" w:hAnsi="Arial" w:cs="Times New Roman"/>
                <w:bCs/>
              </w:rPr>
              <w:t>antopsykotika</w:t>
            </w:r>
            <w:proofErr w:type="spellEnd"/>
            <w:r>
              <w:rPr>
                <w:rFonts w:ascii="Arial" w:hAnsi="Arial" w:cs="Times New Roman"/>
                <w:bCs/>
              </w:rPr>
              <w:t xml:space="preserve"> er opdelingen i første- </w:t>
            </w:r>
            <w:r w:rsidR="004A790E">
              <w:rPr>
                <w:rFonts w:ascii="Arial" w:hAnsi="Arial" w:cs="Times New Roman"/>
                <w:bCs/>
              </w:rPr>
              <w:t xml:space="preserve">(typiske, ældre) </w:t>
            </w:r>
            <w:r>
              <w:rPr>
                <w:rFonts w:ascii="Arial" w:hAnsi="Arial" w:cs="Times New Roman"/>
                <w:bCs/>
              </w:rPr>
              <w:t xml:space="preserve">og </w:t>
            </w:r>
            <w:proofErr w:type="spellStart"/>
            <w:r>
              <w:rPr>
                <w:rFonts w:ascii="Arial" w:hAnsi="Arial" w:cs="Times New Roman"/>
                <w:bCs/>
              </w:rPr>
              <w:t>andengenerationsantispykotika</w:t>
            </w:r>
            <w:proofErr w:type="spellEnd"/>
            <w:r w:rsidR="004A790E">
              <w:rPr>
                <w:rFonts w:ascii="Arial" w:hAnsi="Arial" w:cs="Times New Roman"/>
                <w:bCs/>
              </w:rPr>
              <w:t xml:space="preserve"> (atypiske, nyere)</w:t>
            </w:r>
            <w:r>
              <w:rPr>
                <w:rFonts w:ascii="Arial" w:hAnsi="Arial" w:cs="Times New Roman"/>
                <w:bCs/>
              </w:rPr>
              <w:t>, primært betinget af gruppernes forskellige bivirkningsprofiler</w:t>
            </w:r>
          </w:p>
          <w:p w14:paraId="36A483F2" w14:textId="77777777" w:rsidR="004A7585" w:rsidRPr="008A6EE7" w:rsidRDefault="004A7585" w:rsidP="00C56665">
            <w:pPr>
              <w:pStyle w:val="Brdtekst"/>
              <w:rPr>
                <w:rFonts w:ascii="Arial" w:hAnsi="Arial" w:cs="Times New Roman"/>
                <w:bCs/>
              </w:rPr>
            </w:pPr>
          </w:p>
          <w:p w14:paraId="5DABD606" w14:textId="0C5C1544" w:rsidR="00C56665" w:rsidRPr="00B8402A" w:rsidRDefault="00B8402A" w:rsidP="00C56665">
            <w:pPr>
              <w:pStyle w:val="Brdtekst"/>
              <w:numPr>
                <w:ilvl w:val="0"/>
                <w:numId w:val="6"/>
              </w:numPr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r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lastRenderedPageBreak/>
              <w:t>generation/typisk</w:t>
            </w:r>
          </w:p>
          <w:p w14:paraId="243E9EC4" w14:textId="77777777" w:rsidR="00C56665" w:rsidRPr="00B8402A" w:rsidRDefault="00C56665" w:rsidP="00C56665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 xml:space="preserve">Opdeles i </w:t>
            </w:r>
          </w:p>
          <w:p w14:paraId="115D7EFA" w14:textId="001D8D19" w:rsidR="00C56665" w:rsidRPr="00B8402A" w:rsidRDefault="00217A22" w:rsidP="00C56665">
            <w:pPr>
              <w:pStyle w:val="Brdtekst"/>
              <w:numPr>
                <w:ilvl w:val="0"/>
                <w:numId w:val="7"/>
              </w:numPr>
              <w:rPr>
                <w:rFonts w:ascii="Arial" w:eastAsia="Helvetica" w:hAnsi="Arial" w:cs="Times New Roman"/>
                <w:position w:val="4"/>
              </w:rPr>
            </w:pPr>
            <w:r w:rsidRPr="00217A22">
              <w:rPr>
                <w:rFonts w:ascii="Arial" w:hAnsi="Arial" w:cs="Times New Roman"/>
                <w:u w:val="single"/>
              </w:rPr>
              <w:t xml:space="preserve">Lavdosis / </w:t>
            </w:r>
            <w:proofErr w:type="spellStart"/>
            <w:r w:rsidR="0089575A" w:rsidRPr="00217A22">
              <w:rPr>
                <w:rFonts w:ascii="Arial" w:hAnsi="Arial" w:cs="Times New Roman"/>
                <w:u w:val="single"/>
              </w:rPr>
              <w:t>D</w:t>
            </w:r>
            <w:r w:rsidR="00C56665" w:rsidRPr="00217A22">
              <w:rPr>
                <w:rFonts w:ascii="Arial" w:hAnsi="Arial" w:cs="Times New Roman"/>
                <w:u w:val="single"/>
              </w:rPr>
              <w:t>opaminselektiv</w:t>
            </w:r>
            <w:r w:rsidR="0089575A" w:rsidRPr="00217A22">
              <w:rPr>
                <w:rFonts w:ascii="Arial" w:hAnsi="Arial" w:cs="Times New Roman"/>
                <w:u w:val="single"/>
              </w:rPr>
              <w:t>e</w:t>
            </w:r>
            <w:proofErr w:type="spellEnd"/>
            <w:r w:rsidR="0089575A">
              <w:rPr>
                <w:rFonts w:ascii="Arial" w:hAnsi="Arial" w:cs="Times New Roman"/>
              </w:rPr>
              <w:t xml:space="preserve">, hvorfor de kun binder til </w:t>
            </w:r>
            <w:proofErr w:type="spellStart"/>
            <w:r w:rsidR="0089575A">
              <w:rPr>
                <w:rFonts w:ascii="Arial" w:hAnsi="Arial" w:cs="Times New Roman"/>
              </w:rPr>
              <w:t>dopaminreceptorer</w:t>
            </w:r>
            <w:proofErr w:type="spellEnd"/>
            <w:r w:rsidR="00BB0E3D">
              <w:rPr>
                <w:rFonts w:ascii="Arial" w:hAnsi="Arial" w:cs="Times New Roman"/>
              </w:rPr>
              <w:t xml:space="preserve">. </w:t>
            </w:r>
            <w:r w:rsidR="00C53A72">
              <w:rPr>
                <w:rFonts w:ascii="Arial" w:hAnsi="Arial" w:cs="Times New Roman"/>
              </w:rPr>
              <w:t>Ekstrapyramidale bivirkninger men</w:t>
            </w:r>
            <w:r w:rsidR="00C56665" w:rsidRPr="00B8402A">
              <w:rPr>
                <w:rFonts w:ascii="Arial" w:hAnsi="Arial" w:cs="Times New Roman"/>
              </w:rPr>
              <w:t xml:space="preserve"> få autonome bivirkninger.</w:t>
            </w:r>
          </w:p>
          <w:p w14:paraId="4ADCF205" w14:textId="77777777" w:rsidR="00C56665" w:rsidRPr="00B8402A" w:rsidRDefault="00C56665" w:rsidP="00C56665">
            <w:pPr>
              <w:pStyle w:val="Brdtekst"/>
              <w:numPr>
                <w:ilvl w:val="0"/>
                <w:numId w:val="7"/>
              </w:numPr>
              <w:rPr>
                <w:rFonts w:ascii="Arial" w:eastAsia="Helvetica" w:hAnsi="Arial" w:cs="Times New Roman"/>
                <w:position w:val="4"/>
              </w:rPr>
            </w:pPr>
            <w:r w:rsidRPr="00217A22">
              <w:rPr>
                <w:rFonts w:ascii="Arial" w:hAnsi="Arial" w:cs="Times New Roman"/>
                <w:u w:val="single"/>
              </w:rPr>
              <w:t>Middeldosis;</w:t>
            </w:r>
            <w:r w:rsidRPr="00B8402A">
              <w:rPr>
                <w:rFonts w:ascii="Arial" w:hAnsi="Arial" w:cs="Times New Roman"/>
              </w:rPr>
              <w:t xml:space="preserve"> Mellem lav- og højdosis mht. bivirkninger.</w:t>
            </w:r>
          </w:p>
          <w:p w14:paraId="193D824F" w14:textId="5D03343C" w:rsidR="00C56665" w:rsidRPr="00B8402A" w:rsidRDefault="00217A22" w:rsidP="00C56665">
            <w:pPr>
              <w:pStyle w:val="Brdtekst"/>
              <w:numPr>
                <w:ilvl w:val="0"/>
                <w:numId w:val="7"/>
              </w:numPr>
              <w:rPr>
                <w:rFonts w:ascii="Arial" w:eastAsia="Helvetica" w:hAnsi="Arial" w:cs="Times New Roman"/>
                <w:position w:val="4"/>
              </w:rPr>
            </w:pPr>
            <w:r w:rsidRPr="00217A22">
              <w:rPr>
                <w:rFonts w:ascii="Arial" w:hAnsi="Arial" w:cs="Times New Roman"/>
                <w:u w:val="single"/>
              </w:rPr>
              <w:t xml:space="preserve">Højdosis/  </w:t>
            </w:r>
            <w:r w:rsidR="00C56665" w:rsidRPr="00217A22">
              <w:rPr>
                <w:rFonts w:ascii="Arial" w:hAnsi="Arial" w:cs="Times New Roman"/>
                <w:u w:val="single"/>
              </w:rPr>
              <w:t>Bredspektret</w:t>
            </w:r>
            <w:r w:rsidR="00C53A72">
              <w:rPr>
                <w:rFonts w:ascii="Arial" w:hAnsi="Arial" w:cs="Times New Roman"/>
              </w:rPr>
              <w:t xml:space="preserve"> – de binder til flere receptorer hvorfor bivirkningerne er mere omfatten</w:t>
            </w:r>
            <w:r w:rsidR="00B72671">
              <w:rPr>
                <w:rFonts w:ascii="Arial" w:hAnsi="Arial" w:cs="Times New Roman"/>
              </w:rPr>
              <w:t>de</w:t>
            </w:r>
            <w:r w:rsidR="00C56665" w:rsidRPr="00B8402A">
              <w:rPr>
                <w:rFonts w:ascii="Arial" w:hAnsi="Arial" w:cs="Times New Roman"/>
              </w:rPr>
              <w:t>. Ingen ekstrapyramidale bivirkninger,</w:t>
            </w:r>
            <w:r w:rsidR="00C53A72">
              <w:rPr>
                <w:rFonts w:ascii="Arial" w:hAnsi="Arial" w:cs="Times New Roman"/>
              </w:rPr>
              <w:t xml:space="preserve"> men</w:t>
            </w:r>
            <w:r w:rsidR="00C56665" w:rsidRPr="00B8402A">
              <w:rPr>
                <w:rFonts w:ascii="Arial" w:hAnsi="Arial" w:cs="Times New Roman"/>
              </w:rPr>
              <w:t xml:space="preserve"> flere autonome bivirkninger</w:t>
            </w:r>
            <w:r w:rsidR="00C53A72">
              <w:rPr>
                <w:rFonts w:ascii="Arial" w:hAnsi="Arial" w:cs="Times New Roman"/>
              </w:rPr>
              <w:t xml:space="preserve"> samt vægtøgning kan forekomme. </w:t>
            </w:r>
          </w:p>
          <w:p w14:paraId="67BCD807" w14:textId="77777777" w:rsidR="00C56665" w:rsidRPr="00B8402A" w:rsidRDefault="00C56665" w:rsidP="00C56665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0EC77057" w14:textId="142D77CD" w:rsidR="005C6565" w:rsidRDefault="005C6565" w:rsidP="00C56665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Virker som </w:t>
            </w:r>
            <w:proofErr w:type="spellStart"/>
            <w:r>
              <w:rPr>
                <w:rFonts w:ascii="Arial" w:hAnsi="Arial" w:cs="Times New Roman"/>
              </w:rPr>
              <w:t>kompetetive</w:t>
            </w:r>
            <w:proofErr w:type="spellEnd"/>
            <w:r>
              <w:rPr>
                <w:rFonts w:ascii="Arial" w:hAnsi="Arial" w:cs="Times New Roman"/>
              </w:rPr>
              <w:t xml:space="preserve"> antagonister eller svage partielle </w:t>
            </w:r>
            <w:proofErr w:type="spellStart"/>
            <w:r>
              <w:rPr>
                <w:rFonts w:ascii="Arial" w:hAnsi="Arial" w:cs="Times New Roman"/>
              </w:rPr>
              <w:t>agonister</w:t>
            </w:r>
            <w:proofErr w:type="spellEnd"/>
            <w:r>
              <w:rPr>
                <w:rFonts w:ascii="Arial" w:hAnsi="Arial" w:cs="Times New Roman"/>
              </w:rPr>
              <w:t xml:space="preserve">. </w:t>
            </w:r>
          </w:p>
          <w:p w14:paraId="2A08E313" w14:textId="77777777" w:rsidR="003E1C4A" w:rsidRDefault="00C56665" w:rsidP="00C56665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>Blokere</w:t>
            </w:r>
            <w:r w:rsidR="006B7340">
              <w:rPr>
                <w:rFonts w:ascii="Arial" w:hAnsi="Arial" w:cs="Times New Roman"/>
              </w:rPr>
              <w:t>r</w:t>
            </w:r>
            <w:r w:rsidRPr="00B8402A">
              <w:rPr>
                <w:rFonts w:ascii="Arial" w:hAnsi="Arial" w:cs="Times New Roman"/>
              </w:rPr>
              <w:t xml:space="preserve"> dopamin</w:t>
            </w:r>
            <w:r w:rsidR="006B7340">
              <w:rPr>
                <w:rFonts w:ascii="Arial" w:hAnsi="Arial" w:cs="Times New Roman"/>
              </w:rPr>
              <w:t>-D</w:t>
            </w:r>
            <w:r w:rsidR="006B7340">
              <w:rPr>
                <w:rFonts w:ascii="Arial" w:hAnsi="Arial" w:cs="Times New Roman"/>
                <w:vertAlign w:val="subscript"/>
              </w:rPr>
              <w:t>2</w:t>
            </w:r>
            <w:r w:rsidR="003E1C4A">
              <w:rPr>
                <w:rFonts w:ascii="Arial" w:hAnsi="Arial" w:cs="Times New Roman"/>
              </w:rPr>
              <w:t>-receptorfamilien flere steder i hjernen:</w:t>
            </w:r>
          </w:p>
          <w:p w14:paraId="15319A25" w14:textId="411F595D" w:rsidR="003E1C4A" w:rsidRDefault="003E1C4A" w:rsidP="00753948">
            <w:pPr>
              <w:pStyle w:val="Brdtekst"/>
              <w:numPr>
                <w:ilvl w:val="1"/>
                <w:numId w:val="6"/>
              </w:numPr>
              <w:rPr>
                <w:rFonts w:ascii="Arial" w:hAnsi="Arial" w:cs="Times New Roman"/>
              </w:rPr>
            </w:pPr>
            <w:proofErr w:type="spellStart"/>
            <w:r w:rsidRPr="003E1C4A">
              <w:rPr>
                <w:rFonts w:ascii="Arial" w:hAnsi="Arial" w:cs="Times New Roman"/>
                <w:bCs/>
                <w:i/>
              </w:rPr>
              <w:t>Nigrostriatale</w:t>
            </w:r>
            <w:proofErr w:type="spellEnd"/>
            <w:r w:rsidRPr="003E1C4A">
              <w:rPr>
                <w:rFonts w:ascii="Arial" w:hAnsi="Arial" w:cs="Times New Roman"/>
                <w:bCs/>
                <w:i/>
              </w:rPr>
              <w:t xml:space="preserve"> baner</w:t>
            </w:r>
            <w:r w:rsidRPr="003E1C4A">
              <w:rPr>
                <w:rFonts w:ascii="Arial" w:hAnsi="Arial" w:cs="Times New Roman"/>
                <w:b/>
                <w:bCs/>
              </w:rPr>
              <w:t xml:space="preserve"> </w:t>
            </w:r>
            <w:r w:rsidRPr="003E1C4A">
              <w:rPr>
                <w:rFonts w:ascii="Arial" w:hAnsi="Arial" w:cs="Times New Roman"/>
              </w:rPr>
              <w:t>(</w:t>
            </w:r>
            <w:proofErr w:type="spellStart"/>
            <w:r w:rsidRPr="003E1C4A">
              <w:rPr>
                <w:rFonts w:ascii="Arial" w:hAnsi="Arial" w:cs="Times New Roman"/>
              </w:rPr>
              <w:t>lokomotion</w:t>
            </w:r>
            <w:proofErr w:type="spellEnd"/>
            <w:r w:rsidR="002866D1">
              <w:rPr>
                <w:rFonts w:ascii="Arial" w:hAnsi="Arial" w:cs="Times New Roman"/>
              </w:rPr>
              <w:t xml:space="preserve"> </w:t>
            </w:r>
            <w:r w:rsidR="002866D1" w:rsidRPr="002866D1">
              <w:rPr>
                <w:rFonts w:ascii="Arial" w:hAnsi="Arial" w:cs="Times New Roman"/>
              </w:rPr>
              <w:sym w:font="Wingdings" w:char="F0E0"/>
            </w:r>
            <w:r w:rsidR="002866D1">
              <w:rPr>
                <w:rFonts w:ascii="Arial" w:hAnsi="Arial" w:cs="Times New Roman"/>
              </w:rPr>
              <w:t xml:space="preserve"> modvirker kvalme og opkast</w:t>
            </w:r>
            <w:r w:rsidRPr="003E1C4A">
              <w:rPr>
                <w:rFonts w:ascii="Arial" w:hAnsi="Arial" w:cs="Times New Roman"/>
              </w:rPr>
              <w:t>)</w:t>
            </w:r>
          </w:p>
          <w:p w14:paraId="4CD7248F" w14:textId="21030562" w:rsidR="00753948" w:rsidRDefault="003E1C4A" w:rsidP="00753948">
            <w:pPr>
              <w:pStyle w:val="Brdtekst"/>
              <w:numPr>
                <w:ilvl w:val="1"/>
                <w:numId w:val="6"/>
              </w:numPr>
              <w:rPr>
                <w:rFonts w:ascii="Arial" w:hAnsi="Arial" w:cs="Times New Roman"/>
              </w:rPr>
            </w:pPr>
            <w:proofErr w:type="spellStart"/>
            <w:r w:rsidRPr="00753948">
              <w:rPr>
                <w:rFonts w:ascii="Arial" w:hAnsi="Arial" w:cs="Times New Roman"/>
                <w:bCs/>
                <w:i/>
              </w:rPr>
              <w:t>Mesolimbiske</w:t>
            </w:r>
            <w:proofErr w:type="spellEnd"/>
            <w:r w:rsidRPr="00753948">
              <w:rPr>
                <w:rFonts w:ascii="Arial" w:hAnsi="Arial" w:cs="Times New Roman"/>
                <w:bCs/>
                <w:i/>
              </w:rPr>
              <w:t xml:space="preserve"> baner</w:t>
            </w:r>
            <w:r w:rsidRPr="00753948">
              <w:rPr>
                <w:rFonts w:ascii="Arial" w:hAnsi="Arial" w:cs="Times New Roman"/>
                <w:b/>
                <w:bCs/>
              </w:rPr>
              <w:t xml:space="preserve"> </w:t>
            </w:r>
            <w:r w:rsidRPr="00753948">
              <w:rPr>
                <w:rFonts w:ascii="Arial" w:hAnsi="Arial" w:cs="Times New Roman"/>
              </w:rPr>
              <w:t>(følelser, belønning, hukommelse, indlæring</w:t>
            </w:r>
            <w:r w:rsidR="00511ADB">
              <w:rPr>
                <w:rFonts w:ascii="Arial" w:hAnsi="Arial" w:cs="Times New Roman"/>
              </w:rPr>
              <w:t xml:space="preserve"> </w:t>
            </w:r>
            <w:r w:rsidR="00511ADB" w:rsidRPr="00511ADB">
              <w:rPr>
                <w:rFonts w:ascii="Arial" w:hAnsi="Arial" w:cs="Times New Roman"/>
              </w:rPr>
              <w:sym w:font="Wingdings" w:char="F0E0"/>
            </w:r>
            <w:r w:rsidR="00511ADB">
              <w:rPr>
                <w:rFonts w:ascii="Arial" w:hAnsi="Arial" w:cs="Times New Roman"/>
              </w:rPr>
              <w:t xml:space="preserve"> psykisk virkning</w:t>
            </w:r>
            <w:r w:rsidRPr="00753948">
              <w:rPr>
                <w:rFonts w:ascii="Arial" w:hAnsi="Arial" w:cs="Times New Roman"/>
              </w:rPr>
              <w:t>)</w:t>
            </w:r>
          </w:p>
          <w:p w14:paraId="525A2E7E" w14:textId="4C72344F" w:rsidR="003E1C4A" w:rsidRPr="00753948" w:rsidRDefault="003E1C4A" w:rsidP="00753948">
            <w:pPr>
              <w:pStyle w:val="Brdtekst"/>
              <w:numPr>
                <w:ilvl w:val="1"/>
                <w:numId w:val="6"/>
              </w:numPr>
              <w:rPr>
                <w:rFonts w:ascii="Arial" w:hAnsi="Arial" w:cs="Times New Roman"/>
              </w:rPr>
            </w:pPr>
            <w:proofErr w:type="spellStart"/>
            <w:r w:rsidRPr="00753948">
              <w:rPr>
                <w:rFonts w:ascii="Arial" w:hAnsi="Arial" w:cs="Times New Roman"/>
                <w:bCs/>
                <w:i/>
              </w:rPr>
              <w:t>Mesokorticale</w:t>
            </w:r>
            <w:proofErr w:type="spellEnd"/>
            <w:r w:rsidRPr="00753948">
              <w:rPr>
                <w:rFonts w:ascii="Arial" w:hAnsi="Arial" w:cs="Times New Roman"/>
                <w:bCs/>
                <w:i/>
              </w:rPr>
              <w:t xml:space="preserve"> baner</w:t>
            </w:r>
            <w:r w:rsidRPr="00753948">
              <w:rPr>
                <w:rFonts w:ascii="Arial" w:hAnsi="Arial" w:cs="Times New Roman"/>
                <w:b/>
                <w:bCs/>
              </w:rPr>
              <w:t xml:space="preserve"> </w:t>
            </w:r>
            <w:r w:rsidRPr="00753948">
              <w:rPr>
                <w:rFonts w:ascii="Arial" w:hAnsi="Arial" w:cs="Times New Roman"/>
              </w:rPr>
              <w:t>(kognition, motivation</w:t>
            </w:r>
            <w:r w:rsidR="00511ADB">
              <w:rPr>
                <w:rFonts w:ascii="Arial" w:hAnsi="Arial" w:cs="Times New Roman"/>
              </w:rPr>
              <w:t xml:space="preserve"> </w:t>
            </w:r>
            <w:r w:rsidR="00511ADB" w:rsidRPr="00511ADB">
              <w:rPr>
                <w:rFonts w:ascii="Arial" w:hAnsi="Arial" w:cs="Times New Roman"/>
              </w:rPr>
              <w:sym w:font="Wingdings" w:char="F0E0"/>
            </w:r>
            <w:r w:rsidR="00511ADB">
              <w:rPr>
                <w:rFonts w:ascii="Arial" w:hAnsi="Arial" w:cs="Times New Roman"/>
              </w:rPr>
              <w:t xml:space="preserve"> Motorisk virkning fx parkinsonisme</w:t>
            </w:r>
            <w:r w:rsidR="00C47032">
              <w:rPr>
                <w:rFonts w:ascii="Arial" w:hAnsi="Arial" w:cs="Times New Roman"/>
              </w:rPr>
              <w:t xml:space="preserve"> / ufrivillige bevægelser</w:t>
            </w:r>
            <w:r w:rsidRPr="00753948">
              <w:rPr>
                <w:rFonts w:ascii="Arial" w:hAnsi="Arial" w:cs="Times New Roman"/>
              </w:rPr>
              <w:t>)</w:t>
            </w:r>
          </w:p>
          <w:p w14:paraId="52B881BF" w14:textId="55BAD1EA" w:rsidR="00C56665" w:rsidRPr="00B8402A" w:rsidRDefault="00DA0A45" w:rsidP="00C56665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Mange </w:t>
            </w:r>
            <w:proofErr w:type="spellStart"/>
            <w:r>
              <w:rPr>
                <w:rFonts w:ascii="Arial" w:hAnsi="Arial" w:cs="Times New Roman"/>
              </w:rPr>
              <w:t>antipsykotika</w:t>
            </w:r>
            <w:proofErr w:type="spellEnd"/>
            <w:r>
              <w:rPr>
                <w:rFonts w:ascii="Arial" w:hAnsi="Arial" w:cs="Times New Roman"/>
              </w:rPr>
              <w:t xml:space="preserve"> b</w:t>
            </w:r>
            <w:r w:rsidR="006B7340">
              <w:rPr>
                <w:rFonts w:ascii="Arial" w:hAnsi="Arial" w:cs="Times New Roman"/>
              </w:rPr>
              <w:t>lokere</w:t>
            </w:r>
            <w:r>
              <w:rPr>
                <w:rFonts w:ascii="Arial" w:hAnsi="Arial" w:cs="Times New Roman"/>
              </w:rPr>
              <w:t>r</w:t>
            </w:r>
            <w:r w:rsidR="00C56665" w:rsidRPr="00B8402A">
              <w:rPr>
                <w:rFonts w:ascii="Arial" w:hAnsi="Arial" w:cs="Times New Roman"/>
              </w:rPr>
              <w:t xml:space="preserve"> også </w:t>
            </w:r>
            <w:r w:rsidR="006B7340">
              <w:rPr>
                <w:rFonts w:ascii="Arial" w:hAnsi="Arial" w:cs="Times New Roman"/>
              </w:rPr>
              <w:t xml:space="preserve">andre receptorer, både inden for og uden for </w:t>
            </w:r>
            <w:proofErr w:type="spellStart"/>
            <w:r w:rsidR="006B7340">
              <w:rPr>
                <w:rFonts w:ascii="Arial" w:hAnsi="Arial" w:cs="Times New Roman"/>
              </w:rPr>
              <w:t>dopaminfamilien</w:t>
            </w:r>
            <w:proofErr w:type="spellEnd"/>
            <w:r w:rsidR="006B7340">
              <w:rPr>
                <w:rFonts w:ascii="Arial" w:hAnsi="Arial" w:cs="Times New Roman"/>
              </w:rPr>
              <w:t xml:space="preserve">, deriblandt </w:t>
            </w:r>
            <w:proofErr w:type="spellStart"/>
            <w:r w:rsidR="00C56665" w:rsidRPr="00B8402A">
              <w:rPr>
                <w:rFonts w:ascii="Arial" w:hAnsi="Arial" w:cs="Times New Roman"/>
              </w:rPr>
              <w:t>norad</w:t>
            </w:r>
            <w:r>
              <w:rPr>
                <w:rFonts w:ascii="Arial" w:hAnsi="Arial" w:cs="Times New Roman"/>
              </w:rPr>
              <w:t>renerge</w:t>
            </w:r>
            <w:proofErr w:type="spellEnd"/>
            <w:r>
              <w:rPr>
                <w:rFonts w:ascii="Arial" w:hAnsi="Arial" w:cs="Times New Roman"/>
              </w:rPr>
              <w:t xml:space="preserve">, </w:t>
            </w:r>
            <w:proofErr w:type="spellStart"/>
            <w:r>
              <w:rPr>
                <w:rFonts w:ascii="Arial" w:hAnsi="Arial" w:cs="Times New Roman"/>
              </w:rPr>
              <w:t>histaminerge</w:t>
            </w:r>
            <w:proofErr w:type="spellEnd"/>
            <w:r>
              <w:rPr>
                <w:rFonts w:ascii="Arial" w:hAnsi="Arial" w:cs="Times New Roman"/>
              </w:rPr>
              <w:t xml:space="preserve">, </w:t>
            </w:r>
            <w:proofErr w:type="spellStart"/>
            <w:r>
              <w:rPr>
                <w:rFonts w:ascii="Arial" w:hAnsi="Arial" w:cs="Times New Roman"/>
              </w:rPr>
              <w:t>kolinerge</w:t>
            </w:r>
            <w:proofErr w:type="spellEnd"/>
            <w:r w:rsidR="00C56665" w:rsidRPr="00B8402A">
              <w:rPr>
                <w:rFonts w:ascii="Arial" w:hAnsi="Arial" w:cs="Times New Roman"/>
              </w:rPr>
              <w:t xml:space="preserve"> og </w:t>
            </w:r>
            <w:proofErr w:type="spellStart"/>
            <w:r w:rsidR="00C56665" w:rsidRPr="00B8402A">
              <w:rPr>
                <w:rFonts w:ascii="Arial" w:hAnsi="Arial" w:cs="Times New Roman"/>
              </w:rPr>
              <w:t>serotonerge</w:t>
            </w:r>
            <w:proofErr w:type="spellEnd"/>
            <w:r w:rsidR="00C56665" w:rsidRPr="00B8402A">
              <w:rPr>
                <w:rFonts w:ascii="Arial" w:hAnsi="Arial" w:cs="Times New Roman"/>
              </w:rPr>
              <w:t xml:space="preserve"> receptorer. </w:t>
            </w:r>
            <w:r w:rsidR="00E13FDA">
              <w:rPr>
                <w:rFonts w:ascii="Arial" w:hAnsi="Arial" w:cs="Times New Roman"/>
              </w:rPr>
              <w:t xml:space="preserve">Dette bidrager til </w:t>
            </w:r>
            <w:proofErr w:type="spellStart"/>
            <w:r w:rsidR="00E13FDA">
              <w:rPr>
                <w:rFonts w:ascii="Arial" w:hAnsi="Arial" w:cs="Times New Roman"/>
              </w:rPr>
              <w:t>antipsykotikas</w:t>
            </w:r>
            <w:proofErr w:type="spellEnd"/>
            <w:r w:rsidR="00E13FDA">
              <w:rPr>
                <w:rFonts w:ascii="Arial" w:hAnsi="Arial" w:cs="Times New Roman"/>
              </w:rPr>
              <w:t xml:space="preserve"> kliniske virkninger både ønskede og uønskede.</w:t>
            </w:r>
          </w:p>
          <w:p w14:paraId="0B566A3C" w14:textId="77777777" w:rsidR="00C56665" w:rsidRPr="00B8402A" w:rsidRDefault="00C56665" w:rsidP="00C56665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0D363E37" w14:textId="79ACA693" w:rsidR="00C56665" w:rsidRPr="00B8402A" w:rsidRDefault="00C56665" w:rsidP="00C56665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 xml:space="preserve">Psykiske tilstande - </w:t>
            </w:r>
            <w:proofErr w:type="spellStart"/>
            <w:r w:rsidRPr="00B8402A">
              <w:rPr>
                <w:rFonts w:ascii="Arial" w:hAnsi="Arial" w:cs="Times New Roman"/>
              </w:rPr>
              <w:t>skitzofreni</w:t>
            </w:r>
            <w:proofErr w:type="spellEnd"/>
            <w:r w:rsidRPr="00B8402A">
              <w:rPr>
                <w:rFonts w:ascii="Arial" w:hAnsi="Arial" w:cs="Times New Roman"/>
              </w:rPr>
              <w:t>, paranoide psykoser, demens</w:t>
            </w:r>
            <w:r w:rsidR="00B72671">
              <w:rPr>
                <w:rFonts w:ascii="Arial" w:hAnsi="Arial" w:cs="Times New Roman"/>
              </w:rPr>
              <w:t xml:space="preserve"> præget af </w:t>
            </w:r>
            <w:proofErr w:type="spellStart"/>
            <w:r w:rsidR="00B72671">
              <w:rPr>
                <w:rFonts w:ascii="Arial" w:hAnsi="Arial" w:cs="Times New Roman"/>
              </w:rPr>
              <w:t>hallunis</w:t>
            </w:r>
            <w:r w:rsidR="003523CD">
              <w:rPr>
                <w:rFonts w:ascii="Arial" w:hAnsi="Arial" w:cs="Times New Roman"/>
              </w:rPr>
              <w:t>ationer</w:t>
            </w:r>
            <w:proofErr w:type="spellEnd"/>
            <w:r w:rsidR="003523CD">
              <w:rPr>
                <w:rFonts w:ascii="Arial" w:hAnsi="Arial" w:cs="Times New Roman"/>
              </w:rPr>
              <w:t xml:space="preserve"> og vrangforestillinger</w:t>
            </w:r>
            <w:r w:rsidRPr="00B8402A">
              <w:rPr>
                <w:rFonts w:ascii="Arial" w:hAnsi="Arial" w:cs="Times New Roman"/>
              </w:rPr>
              <w:t xml:space="preserve">. </w:t>
            </w:r>
          </w:p>
          <w:p w14:paraId="74FD8338" w14:textId="77777777" w:rsidR="00C56665" w:rsidRPr="00B8402A" w:rsidRDefault="00C56665" w:rsidP="00C56665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 xml:space="preserve">Lav dosis kan sænke ufrivillige bevægelser. </w:t>
            </w:r>
          </w:p>
          <w:p w14:paraId="3C9FE0DF" w14:textId="77777777" w:rsidR="00C56665" w:rsidRPr="00B8402A" w:rsidRDefault="00C56665" w:rsidP="00C56665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Kontraindikationer:</w:t>
            </w:r>
          </w:p>
          <w:p w14:paraId="5C82A9A5" w14:textId="77777777" w:rsidR="00C56665" w:rsidRPr="00B8402A" w:rsidRDefault="00C56665" w:rsidP="00C56665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>Graviditet, amning, allergi, CNS-</w:t>
            </w:r>
            <w:proofErr w:type="spellStart"/>
            <w:r w:rsidRPr="00B8402A">
              <w:rPr>
                <w:rFonts w:ascii="Arial" w:hAnsi="Arial" w:cs="Times New Roman"/>
              </w:rPr>
              <w:t>depressiva</w:t>
            </w:r>
            <w:proofErr w:type="spellEnd"/>
            <w:r w:rsidRPr="00B8402A">
              <w:rPr>
                <w:rFonts w:ascii="Arial" w:hAnsi="Arial" w:cs="Times New Roman"/>
              </w:rPr>
              <w:t xml:space="preserve">. </w:t>
            </w:r>
          </w:p>
          <w:p w14:paraId="1BB30898" w14:textId="77777777" w:rsidR="00C56665" w:rsidRPr="00B8402A" w:rsidRDefault="00C56665" w:rsidP="00C56665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14:paraId="27225F49" w14:textId="72099935" w:rsidR="00093F15" w:rsidRDefault="004927B5" w:rsidP="00C56665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Ekstrapyramidale </w:t>
            </w:r>
            <w:r w:rsidR="00093F15">
              <w:rPr>
                <w:rFonts w:ascii="Arial" w:hAnsi="Arial" w:cs="Times New Roman"/>
              </w:rPr>
              <w:t xml:space="preserve">(motoriske) </w:t>
            </w:r>
            <w:r>
              <w:rPr>
                <w:rFonts w:ascii="Arial" w:hAnsi="Arial" w:cs="Times New Roman"/>
              </w:rPr>
              <w:t xml:space="preserve">herunder akut </w:t>
            </w:r>
            <w:proofErr w:type="spellStart"/>
            <w:r>
              <w:rPr>
                <w:rFonts w:ascii="Arial" w:hAnsi="Arial" w:cs="Times New Roman"/>
              </w:rPr>
              <w:t>dystoni</w:t>
            </w:r>
            <w:proofErr w:type="spellEnd"/>
            <w:r>
              <w:rPr>
                <w:rFonts w:ascii="Arial" w:hAnsi="Arial" w:cs="Times New Roman"/>
              </w:rPr>
              <w:t xml:space="preserve"> (pludselig længerevarende muskelkramper også i ansigtet), </w:t>
            </w:r>
            <w:r w:rsidR="00C56665" w:rsidRPr="00B8402A">
              <w:rPr>
                <w:rFonts w:ascii="Arial" w:hAnsi="Arial" w:cs="Times New Roman"/>
              </w:rPr>
              <w:t xml:space="preserve">parkinsonisme, </w:t>
            </w:r>
            <w:proofErr w:type="spellStart"/>
            <w:r w:rsidR="00093F15">
              <w:rPr>
                <w:rFonts w:ascii="Arial" w:hAnsi="Arial" w:cs="Times New Roman"/>
              </w:rPr>
              <w:t>tardive</w:t>
            </w:r>
            <w:proofErr w:type="spellEnd"/>
            <w:r w:rsidR="00093F15">
              <w:rPr>
                <w:rFonts w:ascii="Arial" w:hAnsi="Arial" w:cs="Times New Roman"/>
              </w:rPr>
              <w:t xml:space="preserve"> </w:t>
            </w:r>
            <w:proofErr w:type="spellStart"/>
            <w:r w:rsidR="00093F15">
              <w:rPr>
                <w:rFonts w:ascii="Arial" w:hAnsi="Arial" w:cs="Times New Roman"/>
              </w:rPr>
              <w:t>dyskineser</w:t>
            </w:r>
            <w:proofErr w:type="spellEnd"/>
            <w:r w:rsidR="00093F15">
              <w:rPr>
                <w:rFonts w:ascii="Arial" w:hAnsi="Arial" w:cs="Times New Roman"/>
              </w:rPr>
              <w:t xml:space="preserve"> (ufrivillige bevægelser som tungeuvaner).</w:t>
            </w:r>
          </w:p>
          <w:p w14:paraId="3953A9CD" w14:textId="0753D9F9" w:rsidR="00093F15" w:rsidRDefault="00093F15" w:rsidP="00C56665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Psykiske bivirkninger herunder følelse af at man er fjern fra omgivelserne, depressive symptomer og </w:t>
            </w:r>
            <w:proofErr w:type="spellStart"/>
            <w:r>
              <w:rPr>
                <w:rFonts w:ascii="Arial" w:hAnsi="Arial" w:cs="Times New Roman"/>
              </w:rPr>
              <w:t>akatisi</w:t>
            </w:r>
            <w:proofErr w:type="spellEnd"/>
            <w:r>
              <w:rPr>
                <w:rFonts w:ascii="Arial" w:hAnsi="Arial" w:cs="Times New Roman"/>
              </w:rPr>
              <w:t xml:space="preserve"> (rastløshed og uro i benene).</w:t>
            </w:r>
          </w:p>
          <w:p w14:paraId="36DDDF61" w14:textId="11DD4CE4" w:rsidR="00093F15" w:rsidRDefault="00093F15" w:rsidP="00C56665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Autonome bivirkninger: mundtørhed, </w:t>
            </w:r>
            <w:proofErr w:type="spellStart"/>
            <w:r>
              <w:rPr>
                <w:rFonts w:ascii="Arial" w:hAnsi="Arial" w:cs="Times New Roman"/>
              </w:rPr>
              <w:t>dilaterede</w:t>
            </w:r>
            <w:proofErr w:type="spellEnd"/>
            <w:r>
              <w:rPr>
                <w:rFonts w:ascii="Arial" w:hAnsi="Arial" w:cs="Times New Roman"/>
              </w:rPr>
              <w:t xml:space="preserve"> pupiller, øget hjerteaktion, metaboliske symptomer</w:t>
            </w:r>
            <w:r w:rsidR="009026FA">
              <w:rPr>
                <w:rFonts w:ascii="Arial" w:hAnsi="Arial" w:cs="Times New Roman"/>
              </w:rPr>
              <w:t xml:space="preserve"> (øget appetit og </w:t>
            </w:r>
            <w:r w:rsidR="009026FA">
              <w:rPr>
                <w:rFonts w:ascii="Arial" w:hAnsi="Arial" w:cs="Times New Roman"/>
              </w:rPr>
              <w:lastRenderedPageBreak/>
              <w:t>vægtøgning)</w:t>
            </w:r>
            <w:r>
              <w:rPr>
                <w:rFonts w:ascii="Arial" w:hAnsi="Arial" w:cs="Times New Roman"/>
              </w:rPr>
              <w:t xml:space="preserve">. </w:t>
            </w:r>
          </w:p>
          <w:p w14:paraId="6493EE57" w14:textId="1F9E7759" w:rsidR="00093F15" w:rsidRDefault="00093F15" w:rsidP="00C56665">
            <w:pPr>
              <w:pStyle w:val="Brdtekst"/>
              <w:rPr>
                <w:rFonts w:ascii="Arial" w:hAnsi="Arial" w:cs="Times New Roman"/>
              </w:rPr>
            </w:pPr>
            <w:proofErr w:type="spellStart"/>
            <w:r>
              <w:rPr>
                <w:rFonts w:ascii="Arial" w:hAnsi="Arial" w:cs="Times New Roman"/>
              </w:rPr>
              <w:t>Kardiovaskulære</w:t>
            </w:r>
            <w:proofErr w:type="spellEnd"/>
            <w:r>
              <w:rPr>
                <w:rFonts w:ascii="Arial" w:hAnsi="Arial" w:cs="Times New Roman"/>
              </w:rPr>
              <w:t xml:space="preserve">: Bredspektret </w:t>
            </w:r>
            <w:proofErr w:type="spellStart"/>
            <w:r>
              <w:rPr>
                <w:rFonts w:ascii="Arial" w:hAnsi="Arial" w:cs="Times New Roman"/>
              </w:rPr>
              <w:t>antispykotika</w:t>
            </w:r>
            <w:proofErr w:type="spellEnd"/>
            <w:r>
              <w:rPr>
                <w:rFonts w:ascii="Arial" w:hAnsi="Arial" w:cs="Times New Roman"/>
              </w:rPr>
              <w:t xml:space="preserve"> </w:t>
            </w:r>
            <w:r w:rsidR="00B72671">
              <w:rPr>
                <w:rFonts w:ascii="Arial" w:hAnsi="Arial" w:cs="Times New Roman"/>
              </w:rPr>
              <w:t xml:space="preserve">kan fremkalde blodtryksfald, </w:t>
            </w:r>
            <w:proofErr w:type="spellStart"/>
            <w:r w:rsidR="00B72671">
              <w:rPr>
                <w:rFonts w:ascii="Arial" w:hAnsi="Arial" w:cs="Times New Roman"/>
              </w:rPr>
              <w:t>ta</w:t>
            </w:r>
            <w:r>
              <w:rPr>
                <w:rFonts w:ascii="Arial" w:hAnsi="Arial" w:cs="Times New Roman"/>
              </w:rPr>
              <w:t>kyka</w:t>
            </w:r>
            <w:r w:rsidR="00B72671">
              <w:rPr>
                <w:rFonts w:ascii="Arial" w:hAnsi="Arial" w:cs="Times New Roman"/>
              </w:rPr>
              <w:t>r</w:t>
            </w:r>
            <w:r>
              <w:rPr>
                <w:rFonts w:ascii="Arial" w:hAnsi="Arial" w:cs="Times New Roman"/>
              </w:rPr>
              <w:t>di</w:t>
            </w:r>
            <w:proofErr w:type="spellEnd"/>
            <w:r w:rsidR="009026FA">
              <w:rPr>
                <w:rFonts w:ascii="Arial" w:hAnsi="Arial" w:cs="Times New Roman"/>
              </w:rPr>
              <w:t xml:space="preserve"> – </w:t>
            </w:r>
            <w:proofErr w:type="spellStart"/>
            <w:r w:rsidR="009026FA">
              <w:rPr>
                <w:rFonts w:ascii="Arial" w:hAnsi="Arial" w:cs="Times New Roman"/>
              </w:rPr>
              <w:t>hjertesygepatineter</w:t>
            </w:r>
            <w:proofErr w:type="spellEnd"/>
            <w:r w:rsidR="009026FA">
              <w:rPr>
                <w:rFonts w:ascii="Arial" w:hAnsi="Arial" w:cs="Times New Roman"/>
              </w:rPr>
              <w:t xml:space="preserve"> bør derfor behandles med </w:t>
            </w:r>
            <w:proofErr w:type="spellStart"/>
            <w:r w:rsidR="009026FA">
              <w:rPr>
                <w:rFonts w:ascii="Arial" w:hAnsi="Arial" w:cs="Times New Roman"/>
              </w:rPr>
              <w:t>dopaminselektive</w:t>
            </w:r>
            <w:proofErr w:type="spellEnd"/>
            <w:r w:rsidR="009026FA">
              <w:rPr>
                <w:rFonts w:ascii="Arial" w:hAnsi="Arial" w:cs="Times New Roman"/>
              </w:rPr>
              <w:t xml:space="preserve"> midler.</w:t>
            </w:r>
          </w:p>
          <w:p w14:paraId="3E5D670A" w14:textId="69DD29A7" w:rsidR="00C56665" w:rsidRPr="00B8402A" w:rsidRDefault="00C56665" w:rsidP="00C56665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 xml:space="preserve">Hovedpart af bivirkninger er forudsigelige og dosisrelateret. </w:t>
            </w:r>
          </w:p>
          <w:p w14:paraId="2046D0D6" w14:textId="77777777" w:rsidR="00C56665" w:rsidRPr="00093F15" w:rsidRDefault="00C56665" w:rsidP="00C56665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093F15">
              <w:rPr>
                <w:rFonts w:ascii="Arial" w:hAnsi="Arial" w:cs="Times New Roman"/>
                <w:i/>
                <w:iCs/>
                <w:u w:val="single"/>
              </w:rPr>
              <w:t>Interaktioner:</w:t>
            </w:r>
          </w:p>
          <w:p w14:paraId="57C6724A" w14:textId="609D56C6" w:rsidR="00C56665" w:rsidRPr="00B8402A" w:rsidRDefault="001E0BED" w:rsidP="00C56665">
            <w:pPr>
              <w:pStyle w:val="Brdtekst"/>
              <w:rPr>
                <w:rFonts w:ascii="Arial" w:hAnsi="Arial" w:cs="Times New Roman"/>
              </w:rPr>
            </w:pPr>
            <w:proofErr w:type="spellStart"/>
            <w:r>
              <w:rPr>
                <w:rFonts w:ascii="Arial" w:hAnsi="Arial" w:cs="Times New Roman"/>
              </w:rPr>
              <w:t>Anti</w:t>
            </w:r>
            <w:r w:rsidR="00093F15" w:rsidRPr="00093F15">
              <w:rPr>
                <w:rFonts w:ascii="Arial" w:hAnsi="Arial" w:cs="Times New Roman"/>
              </w:rPr>
              <w:t>p</w:t>
            </w:r>
            <w:r>
              <w:rPr>
                <w:rFonts w:ascii="Arial" w:hAnsi="Arial" w:cs="Times New Roman"/>
              </w:rPr>
              <w:t>s</w:t>
            </w:r>
            <w:r w:rsidR="00093F15" w:rsidRPr="00093F15">
              <w:rPr>
                <w:rFonts w:ascii="Arial" w:hAnsi="Arial" w:cs="Times New Roman"/>
              </w:rPr>
              <w:t>ykotikum</w:t>
            </w:r>
            <w:proofErr w:type="spellEnd"/>
            <w:r w:rsidR="00093F15" w:rsidRPr="00093F15">
              <w:rPr>
                <w:rFonts w:ascii="Arial" w:hAnsi="Arial" w:cs="Times New Roman"/>
              </w:rPr>
              <w:t xml:space="preserve"> + TCA + </w:t>
            </w:r>
            <w:proofErr w:type="spellStart"/>
            <w:r w:rsidR="00093F15" w:rsidRPr="00093F15">
              <w:rPr>
                <w:rFonts w:ascii="Arial" w:hAnsi="Arial" w:cs="Times New Roman"/>
              </w:rPr>
              <w:t>antiparkinsonmidler</w:t>
            </w:r>
            <w:proofErr w:type="spellEnd"/>
            <w:r w:rsidR="00093F15" w:rsidRPr="00093F15">
              <w:rPr>
                <w:rFonts w:ascii="Arial" w:hAnsi="Arial" w:cs="Times New Roman"/>
              </w:rPr>
              <w:t xml:space="preserve"> </w:t>
            </w:r>
            <w:r w:rsidR="00093F15" w:rsidRPr="00093F15">
              <w:rPr>
                <w:rFonts w:ascii="Arial" w:hAnsi="Arial" w:cs="Times New Roman"/>
              </w:rPr>
              <w:sym w:font="Wingdings" w:char="F0E0"/>
            </w:r>
            <w:r w:rsidR="00093F15" w:rsidRPr="00093F15">
              <w:rPr>
                <w:rFonts w:ascii="Arial" w:hAnsi="Arial" w:cs="Times New Roman"/>
              </w:rPr>
              <w:t xml:space="preserve"> </w:t>
            </w:r>
            <w:proofErr w:type="spellStart"/>
            <w:r w:rsidR="00C56665" w:rsidRPr="00093F15">
              <w:rPr>
                <w:rFonts w:ascii="Arial" w:hAnsi="Arial" w:cs="Times New Roman"/>
              </w:rPr>
              <w:t>antikolinergt</w:t>
            </w:r>
            <w:proofErr w:type="spellEnd"/>
            <w:r w:rsidR="00C56665" w:rsidRPr="00093F15">
              <w:rPr>
                <w:rFonts w:ascii="Arial" w:hAnsi="Arial" w:cs="Times New Roman"/>
              </w:rPr>
              <w:t xml:space="preserve"> syndrom</w:t>
            </w:r>
            <w:r w:rsidR="00B72671">
              <w:rPr>
                <w:rFonts w:ascii="Arial" w:hAnsi="Arial" w:cs="Times New Roman"/>
              </w:rPr>
              <w:t xml:space="preserve"> (autonome biv</w:t>
            </w:r>
            <w:r w:rsidR="00093F15">
              <w:rPr>
                <w:rFonts w:ascii="Arial" w:hAnsi="Arial" w:cs="Times New Roman"/>
              </w:rPr>
              <w:t>i</w:t>
            </w:r>
            <w:r w:rsidR="00B72671">
              <w:rPr>
                <w:rFonts w:ascii="Arial" w:hAnsi="Arial" w:cs="Times New Roman"/>
              </w:rPr>
              <w:t>r</w:t>
            </w:r>
            <w:r w:rsidR="00093F15">
              <w:rPr>
                <w:rFonts w:ascii="Arial" w:hAnsi="Arial" w:cs="Times New Roman"/>
              </w:rPr>
              <w:t>kninger præget af konfusion, svimmelhed)</w:t>
            </w:r>
            <w:r w:rsidR="00C56665" w:rsidRPr="00093F15">
              <w:rPr>
                <w:rFonts w:ascii="Arial" w:hAnsi="Arial" w:cs="Times New Roman"/>
              </w:rPr>
              <w:t>. Hæmmer metabolisme af TCA.</w:t>
            </w:r>
            <w:r w:rsidR="00C56665" w:rsidRPr="00B8402A">
              <w:rPr>
                <w:rFonts w:ascii="Arial" w:hAnsi="Arial" w:cs="Times New Roman"/>
              </w:rPr>
              <w:t xml:space="preserve"> </w:t>
            </w:r>
          </w:p>
          <w:p w14:paraId="731B64D6" w14:textId="77777777" w:rsidR="00C56665" w:rsidRPr="00B8402A" w:rsidRDefault="00C56665" w:rsidP="00C56665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proofErr w:type="spellStart"/>
            <w:r w:rsidRPr="00B8402A">
              <w:rPr>
                <w:rFonts w:ascii="Arial" w:hAnsi="Arial" w:cs="Times New Roman"/>
                <w:i/>
                <w:iCs/>
                <w:u w:val="single"/>
              </w:rPr>
              <w:t>Farmakokinetik</w:t>
            </w:r>
            <w:proofErr w:type="spellEnd"/>
            <w:r w:rsidRPr="00B8402A">
              <w:rPr>
                <w:rFonts w:ascii="Arial" w:hAnsi="Arial" w:cs="Times New Roman"/>
                <w:i/>
                <w:iCs/>
                <w:u w:val="single"/>
              </w:rPr>
              <w:t>:</w:t>
            </w:r>
          </w:p>
          <w:p w14:paraId="7CF84B6B" w14:textId="4A7E503C" w:rsidR="00C56665" w:rsidRPr="00B8402A" w:rsidRDefault="00C56665" w:rsidP="00C56665">
            <w:pPr>
              <w:pStyle w:val="Brdtekst"/>
              <w:numPr>
                <w:ilvl w:val="0"/>
                <w:numId w:val="8"/>
              </w:numPr>
              <w:rPr>
                <w:rFonts w:ascii="Arial" w:eastAsia="Helvetica" w:hAnsi="Arial" w:cs="Times New Roman"/>
                <w:position w:val="4"/>
              </w:rPr>
            </w:pPr>
            <w:r w:rsidRPr="00B8402A">
              <w:rPr>
                <w:rFonts w:ascii="Arial" w:hAnsi="Arial" w:cs="Times New Roman"/>
              </w:rPr>
              <w:t xml:space="preserve">Absorption; </w:t>
            </w:r>
            <w:r w:rsidR="00362B9B">
              <w:rPr>
                <w:rFonts w:ascii="Arial" w:hAnsi="Arial" w:cs="Times New Roman"/>
              </w:rPr>
              <w:t xml:space="preserve">God absorption pga. høj </w:t>
            </w:r>
            <w:proofErr w:type="spellStart"/>
            <w:r w:rsidR="00362B9B">
              <w:rPr>
                <w:rFonts w:ascii="Arial" w:hAnsi="Arial" w:cs="Times New Roman"/>
              </w:rPr>
              <w:t>lipofilitet</w:t>
            </w:r>
            <w:proofErr w:type="spellEnd"/>
            <w:r w:rsidR="00362B9B">
              <w:rPr>
                <w:rFonts w:ascii="Arial" w:hAnsi="Arial" w:cs="Times New Roman"/>
              </w:rPr>
              <w:t xml:space="preserve">. Høj </w:t>
            </w:r>
            <w:proofErr w:type="spellStart"/>
            <w:r w:rsidR="00362B9B">
              <w:rPr>
                <w:rFonts w:ascii="Arial" w:hAnsi="Arial" w:cs="Times New Roman"/>
              </w:rPr>
              <w:t>first</w:t>
            </w:r>
            <w:proofErr w:type="spellEnd"/>
            <w:r w:rsidR="00B72671">
              <w:rPr>
                <w:rFonts w:ascii="Arial" w:hAnsi="Arial" w:cs="Times New Roman"/>
              </w:rPr>
              <w:t xml:space="preserve"> </w:t>
            </w:r>
            <w:proofErr w:type="spellStart"/>
            <w:r w:rsidR="00362B9B">
              <w:rPr>
                <w:rFonts w:ascii="Arial" w:hAnsi="Arial" w:cs="Times New Roman"/>
              </w:rPr>
              <w:t>pass</w:t>
            </w:r>
            <w:proofErr w:type="spellEnd"/>
            <w:r w:rsidR="00B72671">
              <w:rPr>
                <w:rFonts w:ascii="Arial" w:hAnsi="Arial" w:cs="Times New Roman"/>
              </w:rPr>
              <w:t xml:space="preserve"> </w:t>
            </w:r>
            <w:r w:rsidR="00362B9B">
              <w:rPr>
                <w:rFonts w:ascii="Arial" w:hAnsi="Arial" w:cs="Times New Roman"/>
              </w:rPr>
              <w:t xml:space="preserve">metabolisme hvorfor biotilgængelighed for højdosis </w:t>
            </w:r>
            <w:proofErr w:type="spellStart"/>
            <w:r w:rsidR="00362B9B">
              <w:rPr>
                <w:rFonts w:ascii="Arial" w:hAnsi="Arial" w:cs="Times New Roman"/>
              </w:rPr>
              <w:t>antipsykotika</w:t>
            </w:r>
            <w:proofErr w:type="spellEnd"/>
            <w:r w:rsidR="00362B9B">
              <w:rPr>
                <w:rFonts w:ascii="Arial" w:hAnsi="Arial" w:cs="Times New Roman"/>
              </w:rPr>
              <w:t xml:space="preserve"> kun er 30-40% og for lavdosis 50-60%. </w:t>
            </w:r>
          </w:p>
          <w:p w14:paraId="5C723471" w14:textId="25C8ACE8" w:rsidR="00C56665" w:rsidRPr="00B8402A" w:rsidRDefault="00C56665" w:rsidP="00C56665">
            <w:pPr>
              <w:pStyle w:val="Brdtekst"/>
              <w:numPr>
                <w:ilvl w:val="0"/>
                <w:numId w:val="8"/>
              </w:numPr>
              <w:rPr>
                <w:rFonts w:ascii="Arial" w:eastAsia="Helvetica" w:hAnsi="Arial" w:cs="Times New Roman"/>
                <w:position w:val="4"/>
              </w:rPr>
            </w:pPr>
            <w:r w:rsidRPr="00B8402A">
              <w:rPr>
                <w:rFonts w:ascii="Arial" w:hAnsi="Arial" w:cs="Times New Roman"/>
              </w:rPr>
              <w:t>Distribution; Hurtig</w:t>
            </w:r>
            <w:r w:rsidR="00362B9B">
              <w:rPr>
                <w:rFonts w:ascii="Arial" w:hAnsi="Arial" w:cs="Times New Roman"/>
              </w:rPr>
              <w:t>. Plasmaproteinbinding er høj 90-99%.</w:t>
            </w:r>
          </w:p>
          <w:p w14:paraId="2452B489" w14:textId="0D18B016" w:rsidR="00C56665" w:rsidRPr="00B8402A" w:rsidRDefault="00C56665" w:rsidP="00C56665">
            <w:pPr>
              <w:pStyle w:val="Brdtekst"/>
              <w:numPr>
                <w:ilvl w:val="0"/>
                <w:numId w:val="8"/>
              </w:numPr>
              <w:rPr>
                <w:rFonts w:ascii="Arial" w:eastAsia="Helvetica" w:hAnsi="Arial" w:cs="Times New Roman"/>
                <w:position w:val="4"/>
              </w:rPr>
            </w:pPr>
            <w:r w:rsidRPr="00B8402A">
              <w:rPr>
                <w:rFonts w:ascii="Arial" w:hAnsi="Arial" w:cs="Times New Roman"/>
              </w:rPr>
              <w:t xml:space="preserve">Elimination; </w:t>
            </w:r>
            <w:proofErr w:type="spellStart"/>
            <w:r w:rsidR="00362B9B">
              <w:rPr>
                <w:rFonts w:ascii="Arial" w:hAnsi="Arial" w:cs="Times New Roman"/>
              </w:rPr>
              <w:t>Metaboliseres</w:t>
            </w:r>
            <w:proofErr w:type="spellEnd"/>
            <w:r w:rsidR="00362B9B">
              <w:rPr>
                <w:rFonts w:ascii="Arial" w:hAnsi="Arial" w:cs="Times New Roman"/>
              </w:rPr>
              <w:t xml:space="preserve"> vha. </w:t>
            </w:r>
            <w:r w:rsidRPr="00B8402A">
              <w:rPr>
                <w:rFonts w:ascii="Arial" w:hAnsi="Arial" w:cs="Times New Roman"/>
              </w:rPr>
              <w:t>CYP-enzym system</w:t>
            </w:r>
            <w:r w:rsidR="00362B9B">
              <w:rPr>
                <w:rFonts w:ascii="Arial" w:hAnsi="Arial" w:cs="Times New Roman"/>
              </w:rPr>
              <w:t xml:space="preserve"> i leveren hvor der dannes både aktive og inaktive </w:t>
            </w:r>
            <w:proofErr w:type="spellStart"/>
            <w:r w:rsidR="00362B9B">
              <w:rPr>
                <w:rFonts w:ascii="Arial" w:hAnsi="Arial" w:cs="Times New Roman"/>
              </w:rPr>
              <w:t>metabolitter</w:t>
            </w:r>
            <w:proofErr w:type="spellEnd"/>
            <w:r w:rsidR="00362B9B">
              <w:rPr>
                <w:rFonts w:ascii="Arial" w:hAnsi="Arial" w:cs="Times New Roman"/>
              </w:rPr>
              <w:t xml:space="preserve"> - </w:t>
            </w:r>
            <w:r w:rsidRPr="00B8402A">
              <w:rPr>
                <w:rFonts w:ascii="Arial" w:hAnsi="Arial" w:cs="Times New Roman"/>
              </w:rPr>
              <w:t xml:space="preserve">udskilles </w:t>
            </w:r>
            <w:proofErr w:type="spellStart"/>
            <w:r w:rsidRPr="00B8402A">
              <w:rPr>
                <w:rFonts w:ascii="Arial" w:hAnsi="Arial" w:cs="Times New Roman"/>
              </w:rPr>
              <w:t>renalt</w:t>
            </w:r>
            <w:proofErr w:type="spellEnd"/>
            <w:r w:rsidRPr="00B8402A">
              <w:rPr>
                <w:rFonts w:ascii="Arial" w:hAnsi="Arial" w:cs="Times New Roman"/>
              </w:rPr>
              <w:t>.</w:t>
            </w:r>
          </w:p>
          <w:p w14:paraId="13E4AB50" w14:textId="77777777" w:rsidR="00C56665" w:rsidRPr="00B8402A" w:rsidRDefault="00C56665" w:rsidP="00C56665">
            <w:pPr>
              <w:pStyle w:val="Brdtekst"/>
              <w:numPr>
                <w:ilvl w:val="0"/>
                <w:numId w:val="8"/>
              </w:numPr>
              <w:rPr>
                <w:rFonts w:ascii="Arial" w:eastAsia="Helvetica" w:hAnsi="Arial" w:cs="Times New Roman"/>
                <w:position w:val="4"/>
              </w:rPr>
            </w:pPr>
            <w:proofErr w:type="spellStart"/>
            <w:r w:rsidRPr="00B8402A">
              <w:rPr>
                <w:rFonts w:ascii="Arial" w:hAnsi="Arial" w:cs="Times New Roman"/>
              </w:rPr>
              <w:t>Clereance</w:t>
            </w:r>
            <w:proofErr w:type="spellEnd"/>
            <w:r w:rsidRPr="00B8402A">
              <w:rPr>
                <w:rFonts w:ascii="Arial" w:hAnsi="Arial" w:cs="Times New Roman"/>
              </w:rPr>
              <w:t>; Høj.</w:t>
            </w:r>
          </w:p>
          <w:p w14:paraId="468CD0BD" w14:textId="1193F1E1" w:rsidR="00C56665" w:rsidRPr="00B8402A" w:rsidRDefault="00C56665" w:rsidP="00C56665">
            <w:pPr>
              <w:pStyle w:val="Brdtekst"/>
              <w:numPr>
                <w:ilvl w:val="0"/>
                <w:numId w:val="8"/>
              </w:numPr>
              <w:rPr>
                <w:rFonts w:ascii="Arial" w:eastAsia="Helvetica" w:hAnsi="Arial" w:cs="Times New Roman"/>
                <w:position w:val="4"/>
              </w:rPr>
            </w:pPr>
            <w:r w:rsidRPr="00B8402A">
              <w:rPr>
                <w:rFonts w:ascii="Arial" w:hAnsi="Arial" w:cs="Times New Roman"/>
              </w:rPr>
              <w:t>Anslagstid;</w:t>
            </w:r>
            <w:r w:rsidR="00DA1B85">
              <w:rPr>
                <w:rFonts w:ascii="Arial" w:hAnsi="Arial" w:cs="Times New Roman"/>
              </w:rPr>
              <w:t xml:space="preserve"> For depotpræparat (det aktive </w:t>
            </w:r>
            <w:proofErr w:type="spellStart"/>
            <w:r w:rsidR="00DA1B85">
              <w:rPr>
                <w:rFonts w:ascii="Arial" w:hAnsi="Arial" w:cs="Times New Roman"/>
              </w:rPr>
              <w:t>antipsykotikum</w:t>
            </w:r>
            <w:proofErr w:type="spellEnd"/>
            <w:r w:rsidR="00DA1B85">
              <w:rPr>
                <w:rFonts w:ascii="Arial" w:hAnsi="Arial" w:cs="Times New Roman"/>
              </w:rPr>
              <w:t xml:space="preserve"> er koblet til en fedtsyre) der gives </w:t>
            </w:r>
            <w:proofErr w:type="spellStart"/>
            <w:r w:rsidR="00DA1B85">
              <w:rPr>
                <w:rFonts w:ascii="Arial" w:hAnsi="Arial" w:cs="Times New Roman"/>
              </w:rPr>
              <w:t>intramuskulært</w:t>
            </w:r>
            <w:proofErr w:type="spellEnd"/>
            <w:r w:rsidR="00DA1B85">
              <w:rPr>
                <w:rFonts w:ascii="Arial" w:hAnsi="Arial" w:cs="Times New Roman"/>
              </w:rPr>
              <w:t xml:space="preserve"> er anslagstiden</w:t>
            </w:r>
            <w:r w:rsidR="00362B9B">
              <w:rPr>
                <w:rFonts w:ascii="Arial" w:hAnsi="Arial" w:cs="Times New Roman"/>
              </w:rPr>
              <w:t xml:space="preserve"> min 3 uger</w:t>
            </w:r>
            <w:r w:rsidR="007118F6">
              <w:rPr>
                <w:rFonts w:ascii="Arial" w:hAnsi="Arial" w:cs="Times New Roman"/>
              </w:rPr>
              <w:t xml:space="preserve"> – fordel hos fx </w:t>
            </w:r>
            <w:proofErr w:type="spellStart"/>
            <w:r w:rsidR="007118F6">
              <w:rPr>
                <w:rFonts w:ascii="Arial" w:hAnsi="Arial" w:cs="Times New Roman"/>
              </w:rPr>
              <w:t>pt’er</w:t>
            </w:r>
            <w:proofErr w:type="spellEnd"/>
            <w:r w:rsidR="007118F6">
              <w:rPr>
                <w:rFonts w:ascii="Arial" w:hAnsi="Arial" w:cs="Times New Roman"/>
              </w:rPr>
              <w:t xml:space="preserve"> der ikke selv kan administrere deres medicin</w:t>
            </w:r>
            <w:r w:rsidR="00362B9B">
              <w:rPr>
                <w:rFonts w:ascii="Arial" w:hAnsi="Arial" w:cs="Times New Roman"/>
              </w:rPr>
              <w:t>. Peroralt</w:t>
            </w:r>
            <w:r w:rsidRPr="00B8402A">
              <w:rPr>
                <w:rFonts w:ascii="Arial" w:hAnsi="Arial" w:cs="Times New Roman"/>
              </w:rPr>
              <w:t xml:space="preserve"> giver hurtigere effekt</w:t>
            </w:r>
            <w:r w:rsidR="00362B9B">
              <w:rPr>
                <w:rFonts w:ascii="Arial" w:hAnsi="Arial" w:cs="Times New Roman"/>
              </w:rPr>
              <w:t xml:space="preserve"> – efter 1-4 timer</w:t>
            </w:r>
            <w:r w:rsidRPr="00B8402A">
              <w:rPr>
                <w:rFonts w:ascii="Arial" w:hAnsi="Arial" w:cs="Times New Roman"/>
              </w:rPr>
              <w:t xml:space="preserve">. </w:t>
            </w:r>
          </w:p>
          <w:p w14:paraId="2330B0BD" w14:textId="77777777" w:rsidR="00C56665" w:rsidRPr="00B8402A" w:rsidRDefault="00C56665" w:rsidP="00C56665">
            <w:pPr>
              <w:pStyle w:val="Brdtekst"/>
              <w:numPr>
                <w:ilvl w:val="0"/>
                <w:numId w:val="8"/>
              </w:numPr>
              <w:rPr>
                <w:rFonts w:ascii="Arial" w:eastAsia="Helvetica" w:hAnsi="Arial" w:cs="Times New Roman"/>
                <w:position w:val="4"/>
              </w:rPr>
            </w:pPr>
            <w:r w:rsidRPr="00B8402A">
              <w:rPr>
                <w:rFonts w:ascii="Arial" w:hAnsi="Arial" w:cs="Times New Roman"/>
              </w:rPr>
              <w:t xml:space="preserve">Virkningsvarighed; uger til måneder. </w:t>
            </w:r>
          </w:p>
          <w:p w14:paraId="1DF9007A" w14:textId="213D7E7A" w:rsidR="00C56665" w:rsidRPr="00B8402A" w:rsidRDefault="00C56665" w:rsidP="00C56665">
            <w:pPr>
              <w:pStyle w:val="Brdtekst"/>
              <w:numPr>
                <w:ilvl w:val="0"/>
                <w:numId w:val="8"/>
              </w:numPr>
              <w:rPr>
                <w:rFonts w:ascii="Arial" w:eastAsia="Helvetica" w:hAnsi="Arial" w:cs="Times New Roman"/>
                <w:position w:val="4"/>
              </w:rPr>
            </w:pPr>
            <w:r w:rsidRPr="00B8402A">
              <w:rPr>
                <w:rFonts w:ascii="Arial" w:hAnsi="Arial" w:cs="Times New Roman"/>
              </w:rPr>
              <w:t xml:space="preserve">Halveringstid; </w:t>
            </w:r>
            <w:r w:rsidR="00907D59">
              <w:rPr>
                <w:rFonts w:ascii="Arial" w:hAnsi="Arial" w:cs="Times New Roman"/>
              </w:rPr>
              <w:t xml:space="preserve">Varierer meget fra </w:t>
            </w:r>
            <w:r w:rsidRPr="00B8402A">
              <w:rPr>
                <w:rFonts w:ascii="Arial" w:hAnsi="Arial" w:cs="Times New Roman"/>
              </w:rPr>
              <w:t>4-75 timer.</w:t>
            </w:r>
            <w:r w:rsidR="00907D59">
              <w:rPr>
                <w:rFonts w:ascii="Arial" w:hAnsi="Arial" w:cs="Times New Roman"/>
              </w:rPr>
              <w:t xml:space="preserve"> Halveringstiden siger dog ikke noget om varigheden af </w:t>
            </w:r>
            <w:proofErr w:type="spellStart"/>
            <w:r w:rsidR="00907D59">
              <w:rPr>
                <w:rFonts w:ascii="Arial" w:hAnsi="Arial" w:cs="Times New Roman"/>
              </w:rPr>
              <w:t>antipsykotikas</w:t>
            </w:r>
            <w:proofErr w:type="spellEnd"/>
            <w:r w:rsidR="00907D59">
              <w:rPr>
                <w:rFonts w:ascii="Arial" w:hAnsi="Arial" w:cs="Times New Roman"/>
              </w:rPr>
              <w:t xml:space="preserve"> effekt, da effekten kan vare i uger til måneder efter </w:t>
            </w:r>
            <w:proofErr w:type="spellStart"/>
            <w:r w:rsidR="00907D59">
              <w:rPr>
                <w:rFonts w:ascii="Arial" w:hAnsi="Arial" w:cs="Times New Roman"/>
              </w:rPr>
              <w:t>seponering</w:t>
            </w:r>
            <w:proofErr w:type="spellEnd"/>
            <w:r w:rsidR="00907D59">
              <w:rPr>
                <w:rFonts w:ascii="Arial" w:hAnsi="Arial" w:cs="Times New Roman"/>
              </w:rPr>
              <w:t xml:space="preserve">. </w:t>
            </w:r>
          </w:p>
          <w:p w14:paraId="74941C89" w14:textId="3EAA9F17" w:rsidR="00C56665" w:rsidRPr="00B8402A" w:rsidRDefault="00C56665" w:rsidP="00C56665">
            <w:pPr>
              <w:pStyle w:val="Brdtekst"/>
              <w:numPr>
                <w:ilvl w:val="0"/>
                <w:numId w:val="8"/>
              </w:numPr>
              <w:rPr>
                <w:rFonts w:ascii="Arial" w:eastAsia="Helvetica" w:hAnsi="Arial" w:cs="Times New Roman"/>
                <w:position w:val="4"/>
              </w:rPr>
            </w:pPr>
            <w:r w:rsidRPr="00B8402A">
              <w:rPr>
                <w:rFonts w:ascii="Arial" w:hAnsi="Arial" w:cs="Times New Roman"/>
              </w:rPr>
              <w:t>Dosis; Individuelt efte</w:t>
            </w:r>
            <w:r w:rsidR="00423886">
              <w:rPr>
                <w:rFonts w:ascii="Arial" w:hAnsi="Arial" w:cs="Times New Roman"/>
              </w:rPr>
              <w:t>r terapeutisk effekt og</w:t>
            </w:r>
            <w:r w:rsidR="007118F6">
              <w:rPr>
                <w:rFonts w:ascii="Arial" w:hAnsi="Arial" w:cs="Times New Roman"/>
              </w:rPr>
              <w:t xml:space="preserve"> </w:t>
            </w:r>
            <w:r w:rsidR="00423886">
              <w:rPr>
                <w:rFonts w:ascii="Arial" w:hAnsi="Arial" w:cs="Times New Roman"/>
              </w:rPr>
              <w:t>bivirkninger</w:t>
            </w:r>
            <w:r w:rsidRPr="00B8402A">
              <w:rPr>
                <w:rFonts w:ascii="Arial" w:hAnsi="Arial" w:cs="Times New Roman"/>
              </w:rPr>
              <w:t xml:space="preserve">. </w:t>
            </w:r>
            <w:r w:rsidR="001E15E2">
              <w:rPr>
                <w:rFonts w:ascii="Arial" w:hAnsi="Arial" w:cs="Times New Roman"/>
              </w:rPr>
              <w:t>Mindre doser hos ældre og somatisk syge!</w:t>
            </w:r>
          </w:p>
          <w:p w14:paraId="7117BA43" w14:textId="77777777" w:rsidR="00C56665" w:rsidRPr="00B8402A" w:rsidRDefault="00C56665" w:rsidP="00C56665">
            <w:pPr>
              <w:pStyle w:val="Brdtekst"/>
              <w:rPr>
                <w:rFonts w:ascii="Arial" w:hAnsi="Arial" w:cs="Times New Roman"/>
              </w:rPr>
            </w:pPr>
          </w:p>
          <w:p w14:paraId="36519E57" w14:textId="3254EF88" w:rsidR="00C56665" w:rsidRPr="00B8402A" w:rsidRDefault="00B8402A" w:rsidP="00C56665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r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2. generation/atypisk</w:t>
            </w:r>
          </w:p>
          <w:p w14:paraId="74344F23" w14:textId="062D173E" w:rsidR="00C56665" w:rsidRPr="00B8402A" w:rsidRDefault="00E90D7B" w:rsidP="00C56665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Opdeles på samme måde</w:t>
            </w:r>
            <w:r w:rsidR="001A08AA">
              <w:rPr>
                <w:rFonts w:ascii="Arial" w:hAnsi="Arial" w:cs="Times New Roman"/>
              </w:rPr>
              <w:t xml:space="preserve"> som førstegeneration mht. </w:t>
            </w:r>
            <w:proofErr w:type="spellStart"/>
            <w:r w:rsidR="001A08AA">
              <w:rPr>
                <w:rFonts w:ascii="Arial" w:hAnsi="Arial" w:cs="Times New Roman"/>
              </w:rPr>
              <w:t>dopaminselektive</w:t>
            </w:r>
            <w:proofErr w:type="spellEnd"/>
            <w:r w:rsidR="001A08AA">
              <w:rPr>
                <w:rFonts w:ascii="Arial" w:hAnsi="Arial" w:cs="Times New Roman"/>
              </w:rPr>
              <w:t xml:space="preserve"> præparat</w:t>
            </w:r>
            <w:r>
              <w:rPr>
                <w:rFonts w:ascii="Arial" w:hAnsi="Arial" w:cs="Times New Roman"/>
              </w:rPr>
              <w:t>er og bredsp</w:t>
            </w:r>
            <w:r w:rsidR="005D0986">
              <w:rPr>
                <w:rFonts w:ascii="Arial" w:hAnsi="Arial" w:cs="Times New Roman"/>
              </w:rPr>
              <w:t>ektrede præparater, hvor bivirkningsprofilerne er de samme</w:t>
            </w:r>
            <w:r w:rsidR="005C6565">
              <w:rPr>
                <w:rFonts w:ascii="Arial" w:hAnsi="Arial" w:cs="Times New Roman"/>
              </w:rPr>
              <w:t xml:space="preserve"> dog færre ekstrapyramida</w:t>
            </w:r>
            <w:r w:rsidR="007058FB">
              <w:rPr>
                <w:rFonts w:ascii="Arial" w:hAnsi="Arial" w:cs="Times New Roman"/>
              </w:rPr>
              <w:t>le bi</w:t>
            </w:r>
            <w:r w:rsidR="005C6565">
              <w:rPr>
                <w:rFonts w:ascii="Arial" w:hAnsi="Arial" w:cs="Times New Roman"/>
              </w:rPr>
              <w:t>virkninger</w:t>
            </w:r>
            <w:r w:rsidR="004551EA">
              <w:rPr>
                <w:rFonts w:ascii="Arial" w:hAnsi="Arial" w:cs="Times New Roman"/>
              </w:rPr>
              <w:t xml:space="preserve"> ved </w:t>
            </w:r>
            <w:proofErr w:type="spellStart"/>
            <w:r w:rsidR="004551EA">
              <w:rPr>
                <w:rFonts w:ascii="Arial" w:hAnsi="Arial" w:cs="Times New Roman"/>
              </w:rPr>
              <w:t>andengeneration</w:t>
            </w:r>
            <w:proofErr w:type="spellEnd"/>
            <w:r w:rsidR="005D0986">
              <w:rPr>
                <w:rFonts w:ascii="Arial" w:hAnsi="Arial" w:cs="Times New Roman"/>
              </w:rPr>
              <w:t xml:space="preserve">. </w:t>
            </w:r>
            <w:r w:rsidR="001A08AA">
              <w:rPr>
                <w:rFonts w:ascii="Arial" w:hAnsi="Arial" w:cs="Times New Roman"/>
              </w:rPr>
              <w:t xml:space="preserve">Til gengæld tales </w:t>
            </w:r>
            <w:r w:rsidR="005D0986">
              <w:rPr>
                <w:rFonts w:ascii="Arial" w:hAnsi="Arial" w:cs="Times New Roman"/>
              </w:rPr>
              <w:t xml:space="preserve">der </w:t>
            </w:r>
            <w:r w:rsidR="001A08AA">
              <w:rPr>
                <w:rFonts w:ascii="Arial" w:hAnsi="Arial" w:cs="Times New Roman"/>
              </w:rPr>
              <w:t xml:space="preserve">ikke om høj- og lavdosis. </w:t>
            </w:r>
          </w:p>
          <w:p w14:paraId="15CCE243" w14:textId="2C95FD27" w:rsidR="00C56665" w:rsidRPr="00B8402A" w:rsidRDefault="00312D73" w:rsidP="00C56665">
            <w:pPr>
              <w:pStyle w:val="Brdtekst"/>
              <w:numPr>
                <w:ilvl w:val="0"/>
                <w:numId w:val="9"/>
              </w:numPr>
              <w:rPr>
                <w:rFonts w:ascii="Arial" w:eastAsia="Helvetica" w:hAnsi="Arial" w:cs="Times New Roman"/>
                <w:position w:val="4"/>
              </w:rPr>
            </w:pPr>
            <w:proofErr w:type="spellStart"/>
            <w:r w:rsidRPr="00217A22">
              <w:rPr>
                <w:rFonts w:ascii="Arial" w:hAnsi="Arial" w:cs="Times New Roman"/>
                <w:u w:val="single"/>
              </w:rPr>
              <w:t>Dopaminselektive</w:t>
            </w:r>
            <w:proofErr w:type="spellEnd"/>
            <w:r w:rsidRPr="00217A22">
              <w:rPr>
                <w:rFonts w:ascii="Arial" w:hAnsi="Arial" w:cs="Times New Roman"/>
                <w:u w:val="single"/>
              </w:rPr>
              <w:t>:</w:t>
            </w:r>
            <w:r w:rsidR="00C56665" w:rsidRPr="00B8402A">
              <w:rPr>
                <w:rFonts w:ascii="Arial" w:hAnsi="Arial" w:cs="Times New Roman"/>
              </w:rPr>
              <w:t xml:space="preserve"> Ekstrapyramidale bivirkninger</w:t>
            </w:r>
            <w:r w:rsidR="00440679">
              <w:rPr>
                <w:rFonts w:ascii="Arial" w:hAnsi="Arial" w:cs="Times New Roman"/>
              </w:rPr>
              <w:t xml:space="preserve">, kun let </w:t>
            </w:r>
            <w:proofErr w:type="spellStart"/>
            <w:r w:rsidR="00440679">
              <w:rPr>
                <w:rFonts w:ascii="Arial" w:hAnsi="Arial" w:cs="Times New Roman"/>
              </w:rPr>
              <w:t>sedation</w:t>
            </w:r>
            <w:proofErr w:type="spellEnd"/>
            <w:r w:rsidR="00440679">
              <w:rPr>
                <w:rFonts w:ascii="Arial" w:hAnsi="Arial" w:cs="Times New Roman"/>
              </w:rPr>
              <w:t xml:space="preserve"> og autonome bivirkninger</w:t>
            </w:r>
            <w:r w:rsidR="00C56665" w:rsidRPr="00B8402A">
              <w:rPr>
                <w:rFonts w:ascii="Arial" w:hAnsi="Arial" w:cs="Times New Roman"/>
              </w:rPr>
              <w:t>.</w:t>
            </w:r>
          </w:p>
          <w:p w14:paraId="7010D138" w14:textId="084D8321" w:rsidR="00C56665" w:rsidRPr="007A58B4" w:rsidRDefault="00312D73" w:rsidP="00C56665">
            <w:pPr>
              <w:pStyle w:val="Brdtekst"/>
              <w:numPr>
                <w:ilvl w:val="0"/>
                <w:numId w:val="9"/>
              </w:numPr>
              <w:rPr>
                <w:rFonts w:ascii="Arial" w:eastAsia="Helvetica" w:hAnsi="Arial" w:cs="Times New Roman"/>
                <w:position w:val="4"/>
              </w:rPr>
            </w:pPr>
            <w:r w:rsidRPr="00217A22">
              <w:rPr>
                <w:rFonts w:ascii="Arial" w:hAnsi="Arial" w:cs="Times New Roman"/>
                <w:u w:val="single"/>
              </w:rPr>
              <w:t>Bredspektret</w:t>
            </w:r>
            <w:r w:rsidR="00217A22" w:rsidRPr="00217A22">
              <w:rPr>
                <w:rFonts w:ascii="Arial" w:hAnsi="Arial" w:cs="Times New Roman"/>
                <w:u w:val="single"/>
              </w:rPr>
              <w:t>:</w:t>
            </w:r>
            <w:r w:rsidR="00C56665" w:rsidRPr="00B8402A">
              <w:rPr>
                <w:rFonts w:ascii="Arial" w:hAnsi="Arial" w:cs="Times New Roman"/>
              </w:rPr>
              <w:t xml:space="preserve"> </w:t>
            </w:r>
            <w:r w:rsidR="00440679">
              <w:rPr>
                <w:rFonts w:ascii="Arial" w:hAnsi="Arial" w:cs="Times New Roman"/>
              </w:rPr>
              <w:t>Giver mindre ekstrapyramidale bivirkninger men til</w:t>
            </w:r>
            <w:r w:rsidR="007058FB">
              <w:rPr>
                <w:rFonts w:ascii="Arial" w:hAnsi="Arial" w:cs="Times New Roman"/>
              </w:rPr>
              <w:t xml:space="preserve"> </w:t>
            </w:r>
            <w:r w:rsidR="00440679">
              <w:rPr>
                <w:rFonts w:ascii="Arial" w:hAnsi="Arial" w:cs="Times New Roman"/>
              </w:rPr>
              <w:lastRenderedPageBreak/>
              <w:t xml:space="preserve">gengæld </w:t>
            </w:r>
            <w:proofErr w:type="spellStart"/>
            <w:r w:rsidR="00440679">
              <w:rPr>
                <w:rFonts w:ascii="Arial" w:hAnsi="Arial" w:cs="Times New Roman"/>
              </w:rPr>
              <w:t>sedation</w:t>
            </w:r>
            <w:proofErr w:type="spellEnd"/>
            <w:r w:rsidR="00440679">
              <w:rPr>
                <w:rFonts w:ascii="Arial" w:hAnsi="Arial" w:cs="Times New Roman"/>
              </w:rPr>
              <w:t xml:space="preserve">, autonome bivirkninger og vægtøgning. </w:t>
            </w:r>
          </w:p>
          <w:p w14:paraId="7C75073A" w14:textId="77777777" w:rsidR="001E15E2" w:rsidRDefault="00C56665" w:rsidP="00C56665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>Virker so</w:t>
            </w:r>
            <w:r w:rsidR="00187A2F">
              <w:rPr>
                <w:rFonts w:ascii="Arial" w:hAnsi="Arial" w:cs="Times New Roman"/>
              </w:rPr>
              <w:t xml:space="preserve">m 1. generations </w:t>
            </w:r>
            <w:proofErr w:type="spellStart"/>
            <w:r w:rsidR="00187A2F">
              <w:rPr>
                <w:rFonts w:ascii="Arial" w:hAnsi="Arial" w:cs="Times New Roman"/>
              </w:rPr>
              <w:t>antipsykotika</w:t>
            </w:r>
            <w:proofErr w:type="spellEnd"/>
            <w:r w:rsidR="00187A2F">
              <w:rPr>
                <w:rFonts w:ascii="Arial" w:hAnsi="Arial" w:cs="Times New Roman"/>
              </w:rPr>
              <w:t xml:space="preserve">. </w:t>
            </w:r>
          </w:p>
          <w:p w14:paraId="0296AC62" w14:textId="77777777" w:rsidR="001E15E2" w:rsidRDefault="001E15E2" w:rsidP="00C56665">
            <w:pPr>
              <w:pStyle w:val="Brdtekst"/>
              <w:rPr>
                <w:rFonts w:ascii="Arial" w:hAnsi="Arial" w:cs="Times New Roman"/>
              </w:rPr>
            </w:pPr>
          </w:p>
          <w:p w14:paraId="741DE6BD" w14:textId="75478BFF" w:rsidR="00C56665" w:rsidRPr="00B8402A" w:rsidRDefault="00423886" w:rsidP="00C56665">
            <w:pPr>
              <w:pStyle w:val="Brdtekst"/>
              <w:rPr>
                <w:rFonts w:ascii="Arial" w:hAnsi="Arial" w:cs="Times New Roman"/>
              </w:rPr>
            </w:pPr>
            <w:proofErr w:type="spellStart"/>
            <w:r>
              <w:rPr>
                <w:rFonts w:ascii="Arial" w:hAnsi="Arial" w:cs="Times New Roman"/>
              </w:rPr>
              <w:t>Andengeneration</w:t>
            </w:r>
            <w:proofErr w:type="spellEnd"/>
            <w:r>
              <w:rPr>
                <w:rFonts w:ascii="Arial" w:hAnsi="Arial" w:cs="Times New Roman"/>
              </w:rPr>
              <w:t xml:space="preserve"> e</w:t>
            </w:r>
            <w:r w:rsidR="00187A2F">
              <w:rPr>
                <w:rFonts w:ascii="Arial" w:hAnsi="Arial" w:cs="Times New Roman"/>
              </w:rPr>
              <w:t>r ofte førstevalgsmedicin</w:t>
            </w:r>
            <w:r>
              <w:rPr>
                <w:rFonts w:ascii="Arial" w:hAnsi="Arial" w:cs="Times New Roman"/>
              </w:rPr>
              <w:t>, specielt af hensyn til færre motoriske</w:t>
            </w:r>
            <w:r w:rsidR="00093F15">
              <w:rPr>
                <w:rFonts w:ascii="Arial" w:hAnsi="Arial" w:cs="Times New Roman"/>
              </w:rPr>
              <w:t xml:space="preserve"> (ekstrapyramidale)</w:t>
            </w:r>
            <w:r>
              <w:rPr>
                <w:rFonts w:ascii="Arial" w:hAnsi="Arial" w:cs="Times New Roman"/>
              </w:rPr>
              <w:t xml:space="preserve"> bivirkninger og den lidt bedre terapeutiske effekt på depression og negative symptomer. Man skal dog være opmærksom på vægtøgning og andre metaboliske problemer.</w:t>
            </w:r>
          </w:p>
          <w:p w14:paraId="0BAC06BB" w14:textId="77777777" w:rsidR="00B3146A" w:rsidRPr="00B8402A" w:rsidRDefault="00B3146A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F51313" w14:paraId="3C3CFC53" w14:textId="77777777" w:rsidTr="00D06CE6">
        <w:tc>
          <w:tcPr>
            <w:tcW w:w="4859" w:type="dxa"/>
          </w:tcPr>
          <w:p w14:paraId="0AA8C955" w14:textId="78CF4F5F" w:rsidR="00F51313" w:rsidRPr="00B8402A" w:rsidRDefault="00F51313">
            <w:pPr>
              <w:rPr>
                <w:rFonts w:ascii="Arial" w:hAnsi="Arial"/>
                <w:sz w:val="22"/>
                <w:szCs w:val="22"/>
              </w:rPr>
            </w:pPr>
          </w:p>
          <w:p w14:paraId="2590C76B" w14:textId="77777777" w:rsidR="00F51313" w:rsidRDefault="00F51313">
            <w:pPr>
              <w:rPr>
                <w:rFonts w:ascii="Arial" w:hAnsi="Arial"/>
                <w:b/>
                <w:szCs w:val="22"/>
                <w:u w:val="single"/>
              </w:rPr>
            </w:pPr>
            <w:proofErr w:type="spellStart"/>
            <w:r w:rsidRPr="00F64E4F">
              <w:rPr>
                <w:rFonts w:ascii="Arial" w:hAnsi="Arial"/>
                <w:b/>
                <w:szCs w:val="22"/>
                <w:u w:val="single"/>
              </w:rPr>
              <w:t>Parkinsonsmidler</w:t>
            </w:r>
            <w:proofErr w:type="spellEnd"/>
          </w:p>
          <w:p w14:paraId="3E3F252B" w14:textId="77777777" w:rsidR="0012024B" w:rsidRDefault="0012024B">
            <w:pPr>
              <w:rPr>
                <w:rFonts w:ascii="Arial" w:hAnsi="Arial"/>
                <w:b/>
                <w:szCs w:val="22"/>
                <w:u w:val="single"/>
              </w:rPr>
            </w:pPr>
          </w:p>
          <w:p w14:paraId="496D7E17" w14:textId="77777777" w:rsidR="0012024B" w:rsidRDefault="0012024B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Hvad er </w:t>
            </w:r>
            <w:proofErr w:type="spellStart"/>
            <w:r>
              <w:rPr>
                <w:rFonts w:ascii="Arial" w:hAnsi="Arial"/>
                <w:b/>
                <w:sz w:val="22"/>
                <w:szCs w:val="22"/>
              </w:rPr>
              <w:t>parkinsons</w:t>
            </w:r>
            <w:proofErr w:type="spellEnd"/>
            <w:r>
              <w:rPr>
                <w:rFonts w:ascii="Arial" w:hAnsi="Arial"/>
                <w:b/>
                <w:sz w:val="22"/>
                <w:szCs w:val="22"/>
              </w:rPr>
              <w:t>?</w:t>
            </w:r>
          </w:p>
          <w:p w14:paraId="088B0F5A" w14:textId="77777777" w:rsidR="00BE2D29" w:rsidRDefault="00BE2D29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59D89EC0" w14:textId="77777777" w:rsidR="00BE2D29" w:rsidRDefault="00BE2D29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664F0849" w14:textId="77777777" w:rsidR="00BE2D29" w:rsidRDefault="00BE2D29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00FDBEE0" w14:textId="77777777" w:rsidR="00BE2D29" w:rsidRDefault="00BE2D29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21904F80" w14:textId="77777777" w:rsidR="00BE2D29" w:rsidRDefault="00BE2D29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384696DA" w14:textId="77777777" w:rsidR="00BE2D29" w:rsidRDefault="00BE2D29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6C2D03F4" w14:textId="0715F4C4" w:rsidR="00BE2D29" w:rsidRPr="0012024B" w:rsidRDefault="00BE2D29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Stofferne:</w:t>
            </w:r>
          </w:p>
        </w:tc>
        <w:tc>
          <w:tcPr>
            <w:tcW w:w="4781" w:type="dxa"/>
          </w:tcPr>
          <w:p w14:paraId="2C672FC8" w14:textId="77777777" w:rsidR="00F51313" w:rsidRPr="00B8402A" w:rsidRDefault="00F51313">
            <w:pPr>
              <w:rPr>
                <w:rFonts w:ascii="Arial" w:hAnsi="Arial"/>
                <w:sz w:val="22"/>
                <w:szCs w:val="22"/>
              </w:rPr>
            </w:pPr>
          </w:p>
          <w:p w14:paraId="05A27ECC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  <w:b/>
                <w:bCs/>
                <w:u w:val="single"/>
              </w:rPr>
            </w:pPr>
          </w:p>
          <w:p w14:paraId="679DA73C" w14:textId="77777777" w:rsidR="0012024B" w:rsidRDefault="0012024B" w:rsidP="00F51313">
            <w:pPr>
              <w:pStyle w:val="Brdtekst"/>
              <w:rPr>
                <w:rFonts w:ascii="Arial" w:hAnsi="Arial" w:cs="Times New Roman"/>
                <w:b/>
                <w:bCs/>
                <w:i/>
              </w:rPr>
            </w:pPr>
          </w:p>
          <w:p w14:paraId="0D72CD6A" w14:textId="4FBCBE04" w:rsidR="0012024B" w:rsidRPr="0012024B" w:rsidRDefault="0012024B" w:rsidP="00F51313">
            <w:pPr>
              <w:pStyle w:val="Brdtekst"/>
              <w:rPr>
                <w:rFonts w:ascii="Arial" w:hAnsi="Arial" w:cs="Times New Roman"/>
                <w:bCs/>
              </w:rPr>
            </w:pPr>
            <w:r>
              <w:rPr>
                <w:rFonts w:ascii="Arial" w:hAnsi="Arial" w:cs="Times New Roman"/>
                <w:bCs/>
              </w:rPr>
              <w:t xml:space="preserve">Progredierende bevægelsesforstyrrelser i form af </w:t>
            </w:r>
            <w:proofErr w:type="spellStart"/>
            <w:r>
              <w:rPr>
                <w:rFonts w:ascii="Arial" w:hAnsi="Arial" w:cs="Times New Roman"/>
                <w:bCs/>
              </w:rPr>
              <w:t>hviletremor</w:t>
            </w:r>
            <w:proofErr w:type="spellEnd"/>
            <w:r>
              <w:rPr>
                <w:rFonts w:ascii="Arial" w:hAnsi="Arial" w:cs="Times New Roman"/>
                <w:bCs/>
              </w:rPr>
              <w:t xml:space="preserve">, </w:t>
            </w:r>
            <w:proofErr w:type="spellStart"/>
            <w:r>
              <w:rPr>
                <w:rFonts w:ascii="Arial" w:hAnsi="Arial" w:cs="Times New Roman"/>
                <w:bCs/>
              </w:rPr>
              <w:t>hypokinesi</w:t>
            </w:r>
            <w:proofErr w:type="spellEnd"/>
            <w:r>
              <w:rPr>
                <w:rFonts w:ascii="Arial" w:hAnsi="Arial" w:cs="Times New Roman"/>
                <w:bCs/>
              </w:rPr>
              <w:t xml:space="preserve">, rigiditet og balanceforstyrrelser. Symptomerne skyldes tab af </w:t>
            </w:r>
            <w:proofErr w:type="spellStart"/>
            <w:r>
              <w:rPr>
                <w:rFonts w:ascii="Arial" w:hAnsi="Arial" w:cs="Times New Roman"/>
                <w:bCs/>
              </w:rPr>
              <w:t>dopaminproducerende</w:t>
            </w:r>
            <w:proofErr w:type="spellEnd"/>
            <w:r>
              <w:rPr>
                <w:rFonts w:ascii="Arial" w:hAnsi="Arial" w:cs="Times New Roman"/>
                <w:bCs/>
              </w:rPr>
              <w:t xml:space="preserve"> (</w:t>
            </w:r>
            <w:proofErr w:type="spellStart"/>
            <w:r>
              <w:rPr>
                <w:rFonts w:ascii="Arial" w:hAnsi="Arial" w:cs="Times New Roman"/>
                <w:bCs/>
              </w:rPr>
              <w:t>dopaminerge</w:t>
            </w:r>
            <w:proofErr w:type="spellEnd"/>
            <w:r>
              <w:rPr>
                <w:rFonts w:ascii="Arial" w:hAnsi="Arial" w:cs="Times New Roman"/>
                <w:bCs/>
              </w:rPr>
              <w:t>)</w:t>
            </w:r>
            <w:r w:rsidR="007058FB">
              <w:rPr>
                <w:rFonts w:ascii="Arial" w:hAnsi="Arial" w:cs="Times New Roman"/>
                <w:bCs/>
              </w:rPr>
              <w:t xml:space="preserve"> nerveceller beliggende </w:t>
            </w:r>
            <w:proofErr w:type="spellStart"/>
            <w:r w:rsidR="007058FB">
              <w:rPr>
                <w:rFonts w:ascii="Arial" w:hAnsi="Arial" w:cs="Times New Roman"/>
                <w:bCs/>
              </w:rPr>
              <w:t>substant</w:t>
            </w:r>
            <w:r>
              <w:rPr>
                <w:rFonts w:ascii="Arial" w:hAnsi="Arial" w:cs="Times New Roman"/>
                <w:bCs/>
              </w:rPr>
              <w:t>ia</w:t>
            </w:r>
            <w:proofErr w:type="spellEnd"/>
            <w:r>
              <w:rPr>
                <w:rFonts w:ascii="Arial" w:hAnsi="Arial" w:cs="Times New Roman"/>
                <w:bCs/>
              </w:rPr>
              <w:t xml:space="preserve"> </w:t>
            </w:r>
            <w:proofErr w:type="spellStart"/>
            <w:r>
              <w:rPr>
                <w:rFonts w:ascii="Arial" w:hAnsi="Arial" w:cs="Times New Roman"/>
                <w:bCs/>
              </w:rPr>
              <w:t>nigra</w:t>
            </w:r>
            <w:proofErr w:type="spellEnd"/>
            <w:r>
              <w:rPr>
                <w:rFonts w:ascii="Arial" w:hAnsi="Arial" w:cs="Times New Roman"/>
                <w:bCs/>
              </w:rPr>
              <w:t xml:space="preserve"> </w:t>
            </w:r>
            <w:r w:rsidR="00AA0EA5">
              <w:rPr>
                <w:rFonts w:ascii="Arial" w:hAnsi="Arial" w:cs="Times New Roman"/>
                <w:bCs/>
              </w:rPr>
              <w:t>højt i hjernestammen.</w:t>
            </w:r>
          </w:p>
          <w:p w14:paraId="2B9B993D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</w:p>
          <w:p w14:paraId="0B527867" w14:textId="6DA608B9" w:rsidR="00F51313" w:rsidRDefault="00B8402A" w:rsidP="00F51313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proofErr w:type="spellStart"/>
            <w:r w:rsidRPr="00B8402A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Levodopa</w:t>
            </w:r>
            <w:proofErr w:type="spellEnd"/>
          </w:p>
          <w:p w14:paraId="52BAB492" w14:textId="263CAA56" w:rsidR="00390A21" w:rsidRPr="00390A21" w:rsidRDefault="00390A21" w:rsidP="00F51313">
            <w:pPr>
              <w:pStyle w:val="Brdtekst"/>
              <w:rPr>
                <w:rFonts w:ascii="Arial" w:hAnsi="Arial" w:cs="Times New Roman"/>
                <w:bCs/>
                <w:iCs/>
                <w:color w:val="auto"/>
              </w:rPr>
            </w:pPr>
            <w:r>
              <w:rPr>
                <w:rFonts w:ascii="Arial" w:hAnsi="Arial" w:cs="Times New Roman"/>
                <w:bCs/>
                <w:iCs/>
                <w:color w:val="auto"/>
              </w:rPr>
              <w:t xml:space="preserve">Mest anvendte og effektive præparat mod </w:t>
            </w:r>
            <w:proofErr w:type="spellStart"/>
            <w:r>
              <w:rPr>
                <w:rFonts w:ascii="Arial" w:hAnsi="Arial" w:cs="Times New Roman"/>
                <w:bCs/>
                <w:iCs/>
                <w:color w:val="auto"/>
              </w:rPr>
              <w:t>parkinsons</w:t>
            </w:r>
            <w:proofErr w:type="spellEnd"/>
            <w:r>
              <w:rPr>
                <w:rFonts w:ascii="Arial" w:hAnsi="Arial" w:cs="Times New Roman"/>
                <w:bCs/>
                <w:iCs/>
                <w:color w:val="auto"/>
              </w:rPr>
              <w:t>, men efter ca. 5-7 års behandling opstår hos 50% af patienterne en gradvis reduktion af effekten. Der kan sidenhed opstår on/</w:t>
            </w:r>
            <w:proofErr w:type="spellStart"/>
            <w:r>
              <w:rPr>
                <w:rFonts w:ascii="Arial" w:hAnsi="Arial" w:cs="Times New Roman"/>
                <w:bCs/>
                <w:iCs/>
                <w:color w:val="auto"/>
              </w:rPr>
              <w:t>off</w:t>
            </w:r>
            <w:proofErr w:type="spellEnd"/>
            <w:r>
              <w:rPr>
                <w:rFonts w:ascii="Arial" w:hAnsi="Arial" w:cs="Times New Roman"/>
                <w:bCs/>
                <w:iCs/>
                <w:color w:val="auto"/>
              </w:rPr>
              <w:t xml:space="preserve"> fænomener</w:t>
            </w:r>
            <w:r w:rsidR="00A3539A">
              <w:rPr>
                <w:rFonts w:ascii="Arial" w:hAnsi="Arial" w:cs="Times New Roman"/>
                <w:bCs/>
                <w:iCs/>
                <w:color w:val="auto"/>
              </w:rPr>
              <w:t xml:space="preserve"> – typisk tegn på fremskreden sygdom</w:t>
            </w:r>
            <w:r>
              <w:rPr>
                <w:rFonts w:ascii="Arial" w:hAnsi="Arial" w:cs="Times New Roman"/>
                <w:bCs/>
                <w:iCs/>
                <w:color w:val="auto"/>
              </w:rPr>
              <w:t xml:space="preserve">. </w:t>
            </w:r>
          </w:p>
          <w:p w14:paraId="75E1C694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Virkningsmekanism</w:t>
            </w:r>
            <w:bookmarkStart w:id="0" w:name="_GoBack"/>
            <w:bookmarkEnd w:id="0"/>
            <w:r w:rsidRPr="00B8402A">
              <w:rPr>
                <w:rFonts w:ascii="Arial" w:hAnsi="Arial" w:cs="Times New Roman"/>
                <w:i/>
                <w:iCs/>
                <w:u w:val="single"/>
              </w:rPr>
              <w:t>e:</w:t>
            </w:r>
          </w:p>
          <w:p w14:paraId="718C20B0" w14:textId="03A47835" w:rsidR="00F51313" w:rsidRPr="00B8402A" w:rsidRDefault="00F51313" w:rsidP="00F51313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>Mest effektive behandling og er altid komb</w:t>
            </w:r>
            <w:r w:rsidR="00117271">
              <w:rPr>
                <w:rFonts w:ascii="Arial" w:hAnsi="Arial" w:cs="Times New Roman"/>
              </w:rPr>
              <w:t xml:space="preserve">ineret med </w:t>
            </w:r>
            <w:proofErr w:type="spellStart"/>
            <w:r w:rsidR="00117271">
              <w:rPr>
                <w:rFonts w:ascii="Arial" w:hAnsi="Arial" w:cs="Times New Roman"/>
              </w:rPr>
              <w:t>decarboxylasehæmmere</w:t>
            </w:r>
            <w:proofErr w:type="spellEnd"/>
            <w:r w:rsidR="00117271">
              <w:rPr>
                <w:rFonts w:ascii="Arial" w:hAnsi="Arial" w:cs="Times New Roman"/>
              </w:rPr>
              <w:t xml:space="preserve">. Kombinationen er nødvendig, da </w:t>
            </w:r>
            <w:proofErr w:type="spellStart"/>
            <w:r w:rsidR="00117271">
              <w:rPr>
                <w:rFonts w:ascii="Arial" w:hAnsi="Arial" w:cs="Times New Roman"/>
              </w:rPr>
              <w:t>levodapa</w:t>
            </w:r>
            <w:proofErr w:type="spellEnd"/>
            <w:r w:rsidR="00117271">
              <w:rPr>
                <w:rFonts w:ascii="Arial" w:hAnsi="Arial" w:cs="Times New Roman"/>
              </w:rPr>
              <w:t xml:space="preserve"> </w:t>
            </w:r>
            <w:proofErr w:type="spellStart"/>
            <w:r w:rsidR="00117271">
              <w:rPr>
                <w:rFonts w:ascii="Arial" w:hAnsi="Arial" w:cs="Times New Roman"/>
              </w:rPr>
              <w:t>decorboxyleres</w:t>
            </w:r>
            <w:proofErr w:type="spellEnd"/>
            <w:r w:rsidR="00117271">
              <w:rPr>
                <w:rFonts w:ascii="Arial" w:hAnsi="Arial" w:cs="Times New Roman"/>
              </w:rPr>
              <w:t xml:space="preserve"> i tarm og lever til </w:t>
            </w:r>
            <w:proofErr w:type="spellStart"/>
            <w:r w:rsidR="00117271">
              <w:rPr>
                <w:rFonts w:ascii="Arial" w:hAnsi="Arial" w:cs="Times New Roman"/>
              </w:rPr>
              <w:t>dopamin</w:t>
            </w:r>
            <w:proofErr w:type="spellEnd"/>
            <w:r w:rsidR="00117271">
              <w:rPr>
                <w:rFonts w:ascii="Arial" w:hAnsi="Arial" w:cs="Times New Roman"/>
              </w:rPr>
              <w:t xml:space="preserve"> som ikke passerer blod-hjerne-barrieren. Ved tilsætning af </w:t>
            </w:r>
            <w:proofErr w:type="spellStart"/>
            <w:r w:rsidR="00117271">
              <w:rPr>
                <w:rFonts w:ascii="Arial" w:hAnsi="Arial" w:cs="Times New Roman"/>
              </w:rPr>
              <w:t>decarboxylasehæmmer</w:t>
            </w:r>
            <w:proofErr w:type="spellEnd"/>
            <w:r w:rsidR="00117271">
              <w:rPr>
                <w:rFonts w:ascii="Arial" w:hAnsi="Arial" w:cs="Times New Roman"/>
              </w:rPr>
              <w:t xml:space="preserve"> vil en større mængde </w:t>
            </w:r>
            <w:proofErr w:type="spellStart"/>
            <w:r w:rsidR="00117271">
              <w:rPr>
                <w:rFonts w:ascii="Arial" w:hAnsi="Arial" w:cs="Times New Roman"/>
              </w:rPr>
              <w:t>levodopa</w:t>
            </w:r>
            <w:proofErr w:type="spellEnd"/>
            <w:r w:rsidR="00117271">
              <w:rPr>
                <w:rFonts w:ascii="Arial" w:hAnsi="Arial" w:cs="Times New Roman"/>
              </w:rPr>
              <w:t xml:space="preserve"> forblive </w:t>
            </w:r>
            <w:proofErr w:type="spellStart"/>
            <w:r w:rsidR="00117271">
              <w:rPr>
                <w:rFonts w:ascii="Arial" w:hAnsi="Arial" w:cs="Times New Roman"/>
              </w:rPr>
              <w:t>uomdannet</w:t>
            </w:r>
            <w:proofErr w:type="spellEnd"/>
            <w:r w:rsidR="00117271">
              <w:rPr>
                <w:rFonts w:ascii="Arial" w:hAnsi="Arial" w:cs="Times New Roman"/>
              </w:rPr>
              <w:t xml:space="preserve"> og passere blod-hjerne-barrieren. </w:t>
            </w:r>
          </w:p>
          <w:p w14:paraId="46DE6985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5D82F7DE" w14:textId="42D19590" w:rsidR="00F51313" w:rsidRPr="00B8402A" w:rsidRDefault="00A3539A" w:rsidP="00F51313">
            <w:pPr>
              <w:pStyle w:val="Brdtekst"/>
              <w:rPr>
                <w:rFonts w:ascii="Arial" w:hAnsi="Arial" w:cs="Times New Roman"/>
              </w:rPr>
            </w:pPr>
            <w:proofErr w:type="spellStart"/>
            <w:r>
              <w:rPr>
                <w:rFonts w:ascii="Arial" w:hAnsi="Arial" w:cs="Times New Roman"/>
              </w:rPr>
              <w:t>Parkinsons</w:t>
            </w:r>
            <w:proofErr w:type="spellEnd"/>
            <w:r>
              <w:rPr>
                <w:rFonts w:ascii="Arial" w:hAnsi="Arial" w:cs="Times New Roman"/>
              </w:rPr>
              <w:t>.</w:t>
            </w:r>
          </w:p>
          <w:p w14:paraId="046BF6B7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Kontraindikationer:</w:t>
            </w:r>
          </w:p>
          <w:p w14:paraId="3CE46FA5" w14:textId="1E6565AD" w:rsidR="00F51313" w:rsidRPr="00B8402A" w:rsidRDefault="00F51313" w:rsidP="00F51313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 xml:space="preserve">Akut </w:t>
            </w:r>
            <w:proofErr w:type="spellStart"/>
            <w:r w:rsidRPr="00B8402A">
              <w:rPr>
                <w:rFonts w:ascii="Arial" w:hAnsi="Arial" w:cs="Times New Roman"/>
              </w:rPr>
              <w:t>myokardieinfarkt</w:t>
            </w:r>
            <w:proofErr w:type="spellEnd"/>
            <w:r w:rsidRPr="00B8402A">
              <w:rPr>
                <w:rFonts w:ascii="Arial" w:hAnsi="Arial" w:cs="Times New Roman"/>
              </w:rPr>
              <w:t xml:space="preserve">, </w:t>
            </w:r>
            <w:r w:rsidR="00A3539A">
              <w:rPr>
                <w:rFonts w:ascii="Arial" w:hAnsi="Arial" w:cs="Times New Roman"/>
              </w:rPr>
              <w:t xml:space="preserve">svær angina pectoris og bør ikke gives til gravide og ammende. </w:t>
            </w:r>
            <w:r w:rsidRPr="00B8402A">
              <w:rPr>
                <w:rFonts w:ascii="Arial" w:hAnsi="Arial" w:cs="Times New Roman"/>
              </w:rPr>
              <w:t xml:space="preserve"> </w:t>
            </w:r>
          </w:p>
          <w:p w14:paraId="229BEA61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14:paraId="527B521F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 xml:space="preserve">Kvalme, opkastning, </w:t>
            </w:r>
            <w:proofErr w:type="spellStart"/>
            <w:r w:rsidRPr="00B8402A">
              <w:rPr>
                <w:rFonts w:ascii="Arial" w:hAnsi="Arial" w:cs="Times New Roman"/>
              </w:rPr>
              <w:t>ortostatisk</w:t>
            </w:r>
            <w:proofErr w:type="spellEnd"/>
            <w:r w:rsidRPr="00B8402A">
              <w:rPr>
                <w:rFonts w:ascii="Arial" w:hAnsi="Arial" w:cs="Times New Roman"/>
              </w:rPr>
              <w:t xml:space="preserve"> </w:t>
            </w:r>
            <w:proofErr w:type="spellStart"/>
            <w:r w:rsidRPr="00B8402A">
              <w:rPr>
                <w:rFonts w:ascii="Arial" w:hAnsi="Arial" w:cs="Times New Roman"/>
              </w:rPr>
              <w:t>hypotension</w:t>
            </w:r>
            <w:proofErr w:type="spellEnd"/>
            <w:r w:rsidRPr="00B8402A">
              <w:rPr>
                <w:rFonts w:ascii="Arial" w:hAnsi="Arial" w:cs="Times New Roman"/>
              </w:rPr>
              <w:t xml:space="preserve">, leverpåvirkning. </w:t>
            </w:r>
          </w:p>
          <w:p w14:paraId="600A42A8" w14:textId="77777777" w:rsidR="00F51313" w:rsidRPr="00A3539A" w:rsidRDefault="00F51313" w:rsidP="00F51313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A3539A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Interaktioner:</w:t>
            </w:r>
          </w:p>
          <w:p w14:paraId="04AC073E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</w:rPr>
            </w:pPr>
            <w:r w:rsidRPr="00A3539A">
              <w:rPr>
                <w:rFonts w:ascii="Arial" w:hAnsi="Arial" w:cs="Times New Roman"/>
                <w:highlight w:val="yellow"/>
              </w:rPr>
              <w:t>MAO-</w:t>
            </w:r>
            <w:proofErr w:type="spellStart"/>
            <w:r w:rsidRPr="00A3539A">
              <w:rPr>
                <w:rFonts w:ascii="Arial" w:hAnsi="Arial" w:cs="Times New Roman"/>
                <w:highlight w:val="yellow"/>
              </w:rPr>
              <w:t>hæmmere</w:t>
            </w:r>
            <w:proofErr w:type="spellEnd"/>
            <w:r w:rsidRPr="00A3539A">
              <w:rPr>
                <w:rFonts w:ascii="Arial" w:hAnsi="Arial" w:cs="Times New Roman"/>
                <w:highlight w:val="yellow"/>
              </w:rPr>
              <w:t xml:space="preserve">, ikke MAO-B (risiko for </w:t>
            </w:r>
            <w:proofErr w:type="spellStart"/>
            <w:r w:rsidRPr="00A3539A">
              <w:rPr>
                <w:rFonts w:ascii="Arial" w:hAnsi="Arial" w:cs="Times New Roman"/>
                <w:highlight w:val="yellow"/>
              </w:rPr>
              <w:t>hypertensiv</w:t>
            </w:r>
            <w:proofErr w:type="spellEnd"/>
            <w:r w:rsidRPr="00A3539A">
              <w:rPr>
                <w:rFonts w:ascii="Arial" w:hAnsi="Arial" w:cs="Times New Roman"/>
                <w:highlight w:val="yellow"/>
              </w:rPr>
              <w:t xml:space="preserve"> krise), </w:t>
            </w:r>
            <w:proofErr w:type="spellStart"/>
            <w:r w:rsidRPr="00A3539A">
              <w:rPr>
                <w:rFonts w:ascii="Arial" w:hAnsi="Arial" w:cs="Times New Roman"/>
                <w:highlight w:val="yellow"/>
              </w:rPr>
              <w:t>antipsykotika</w:t>
            </w:r>
            <w:proofErr w:type="spellEnd"/>
            <w:r w:rsidRPr="00A3539A">
              <w:rPr>
                <w:rFonts w:ascii="Arial" w:hAnsi="Arial" w:cs="Times New Roman"/>
                <w:highlight w:val="yellow"/>
              </w:rPr>
              <w:t xml:space="preserve"> (modvirker effekt), TCA (forstærker virkning).</w:t>
            </w:r>
          </w:p>
          <w:p w14:paraId="569E91B1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proofErr w:type="spellStart"/>
            <w:r w:rsidRPr="00B8402A">
              <w:rPr>
                <w:rFonts w:ascii="Arial" w:hAnsi="Arial" w:cs="Times New Roman"/>
                <w:i/>
                <w:iCs/>
                <w:u w:val="single"/>
              </w:rPr>
              <w:t>Farmakokinetik</w:t>
            </w:r>
            <w:proofErr w:type="spellEnd"/>
            <w:r w:rsidRPr="00B8402A">
              <w:rPr>
                <w:rFonts w:ascii="Arial" w:hAnsi="Arial" w:cs="Times New Roman"/>
                <w:i/>
                <w:iCs/>
                <w:u w:val="single"/>
              </w:rPr>
              <w:t>:</w:t>
            </w:r>
          </w:p>
          <w:p w14:paraId="1C4807AC" w14:textId="77777777" w:rsidR="00F51313" w:rsidRPr="00A3539A" w:rsidRDefault="00F51313" w:rsidP="00F51313">
            <w:pPr>
              <w:pStyle w:val="Brdtekst"/>
              <w:numPr>
                <w:ilvl w:val="0"/>
                <w:numId w:val="10"/>
              </w:numPr>
              <w:rPr>
                <w:rFonts w:ascii="Arial" w:eastAsia="Helvetica" w:hAnsi="Arial" w:cs="Times New Roman"/>
                <w:position w:val="4"/>
              </w:rPr>
            </w:pPr>
            <w:r w:rsidRPr="00B8402A">
              <w:rPr>
                <w:rFonts w:ascii="Arial" w:hAnsi="Arial" w:cs="Times New Roman"/>
              </w:rPr>
              <w:t xml:space="preserve">Absorption; Fra tarm via </w:t>
            </w:r>
            <w:proofErr w:type="spellStart"/>
            <w:r w:rsidRPr="00B8402A">
              <w:rPr>
                <w:rFonts w:ascii="Arial" w:hAnsi="Arial" w:cs="Times New Roman"/>
              </w:rPr>
              <w:t>carriere</w:t>
            </w:r>
            <w:proofErr w:type="spellEnd"/>
            <w:r w:rsidRPr="00B8402A">
              <w:rPr>
                <w:rFonts w:ascii="Arial" w:hAnsi="Arial" w:cs="Times New Roman"/>
              </w:rPr>
              <w:t xml:space="preserve"> medieret transport. Er den samme proces som for proteiner, så proteinholdig mad vil nedsætte </w:t>
            </w:r>
            <w:r w:rsidRPr="00B8402A">
              <w:rPr>
                <w:rFonts w:ascii="Arial" w:hAnsi="Arial" w:cs="Times New Roman"/>
              </w:rPr>
              <w:lastRenderedPageBreak/>
              <w:t xml:space="preserve">optaget af </w:t>
            </w:r>
            <w:proofErr w:type="spellStart"/>
            <w:r w:rsidRPr="00B8402A">
              <w:rPr>
                <w:rFonts w:ascii="Arial" w:hAnsi="Arial" w:cs="Times New Roman"/>
              </w:rPr>
              <w:t>Levodopa</w:t>
            </w:r>
            <w:proofErr w:type="spellEnd"/>
            <w:r w:rsidRPr="00B8402A">
              <w:rPr>
                <w:rFonts w:ascii="Arial" w:hAnsi="Arial" w:cs="Times New Roman"/>
              </w:rPr>
              <w:t>.</w:t>
            </w:r>
          </w:p>
          <w:p w14:paraId="7A09AA74" w14:textId="5FDD0E50" w:rsidR="00A3539A" w:rsidRPr="00B8402A" w:rsidRDefault="00A3539A" w:rsidP="00F51313">
            <w:pPr>
              <w:pStyle w:val="Brdtekst"/>
              <w:numPr>
                <w:ilvl w:val="0"/>
                <w:numId w:val="10"/>
              </w:numPr>
              <w:rPr>
                <w:rFonts w:ascii="Arial" w:eastAsia="Helvetica" w:hAnsi="Arial" w:cs="Times New Roman"/>
                <w:position w:val="4"/>
              </w:rPr>
            </w:pPr>
            <w:r>
              <w:rPr>
                <w:rFonts w:ascii="Arial" w:hAnsi="Arial" w:cs="Times New Roman"/>
              </w:rPr>
              <w:t xml:space="preserve">Anslagstid; 1-4 timer. </w:t>
            </w:r>
          </w:p>
          <w:p w14:paraId="125B1932" w14:textId="0F1851FD" w:rsidR="00F51313" w:rsidRPr="00B8402A" w:rsidRDefault="00A3539A" w:rsidP="00F51313">
            <w:pPr>
              <w:pStyle w:val="Brdtekst"/>
              <w:numPr>
                <w:ilvl w:val="0"/>
                <w:numId w:val="10"/>
              </w:numPr>
              <w:rPr>
                <w:rFonts w:ascii="Arial" w:eastAsia="Helvetica" w:hAnsi="Arial" w:cs="Times New Roman"/>
                <w:position w:val="4"/>
              </w:rPr>
            </w:pPr>
            <w:r>
              <w:rPr>
                <w:rFonts w:ascii="Arial" w:hAnsi="Arial" w:cs="Times New Roman"/>
              </w:rPr>
              <w:t>Halveringstid; 30 min. til</w:t>
            </w:r>
            <w:r w:rsidR="00F51313" w:rsidRPr="00B8402A">
              <w:rPr>
                <w:rFonts w:ascii="Arial" w:hAnsi="Arial" w:cs="Times New Roman"/>
              </w:rPr>
              <w:t xml:space="preserve"> flere timer.</w:t>
            </w:r>
          </w:p>
          <w:p w14:paraId="4BE2401F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</w:rPr>
            </w:pPr>
          </w:p>
          <w:p w14:paraId="41C2BE80" w14:textId="1BE47477" w:rsidR="00F51313" w:rsidRPr="00915592" w:rsidRDefault="00915592" w:rsidP="00F51313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proofErr w:type="spellStart"/>
            <w:r w:rsidRPr="00915592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Decarboxylase</w:t>
            </w:r>
            <w:proofErr w:type="spellEnd"/>
            <w:r w:rsidRPr="00915592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 xml:space="preserve"> hæmmer</w:t>
            </w:r>
          </w:p>
          <w:p w14:paraId="67131B26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63057B29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 xml:space="preserve">Består af to </w:t>
            </w:r>
            <w:proofErr w:type="spellStart"/>
            <w:r w:rsidRPr="00B8402A">
              <w:rPr>
                <w:rFonts w:ascii="Arial" w:hAnsi="Arial" w:cs="Times New Roman"/>
              </w:rPr>
              <w:t>benserazid</w:t>
            </w:r>
            <w:proofErr w:type="spellEnd"/>
            <w:r w:rsidRPr="00B8402A">
              <w:rPr>
                <w:rFonts w:ascii="Arial" w:hAnsi="Arial" w:cs="Times New Roman"/>
              </w:rPr>
              <w:t xml:space="preserve"> og </w:t>
            </w:r>
            <w:proofErr w:type="spellStart"/>
            <w:r w:rsidRPr="00B8402A">
              <w:rPr>
                <w:rFonts w:ascii="Arial" w:hAnsi="Arial" w:cs="Times New Roman"/>
              </w:rPr>
              <w:t>karbidopa</w:t>
            </w:r>
            <w:proofErr w:type="spellEnd"/>
            <w:r w:rsidRPr="00B8402A">
              <w:rPr>
                <w:rFonts w:ascii="Arial" w:hAnsi="Arial" w:cs="Times New Roman"/>
              </w:rPr>
              <w:t xml:space="preserve">. Forhindrer </w:t>
            </w:r>
            <w:proofErr w:type="spellStart"/>
            <w:r w:rsidRPr="00B8402A">
              <w:rPr>
                <w:rFonts w:ascii="Arial" w:hAnsi="Arial" w:cs="Times New Roman"/>
              </w:rPr>
              <w:t>decarboxylering</w:t>
            </w:r>
            <w:proofErr w:type="spellEnd"/>
            <w:r w:rsidRPr="00B8402A">
              <w:rPr>
                <w:rFonts w:ascii="Arial" w:hAnsi="Arial" w:cs="Times New Roman"/>
              </w:rPr>
              <w:t xml:space="preserve"> af </w:t>
            </w:r>
            <w:proofErr w:type="spellStart"/>
            <w:r w:rsidRPr="00B8402A">
              <w:rPr>
                <w:rFonts w:ascii="Arial" w:hAnsi="Arial" w:cs="Times New Roman"/>
              </w:rPr>
              <w:t>Levodopa</w:t>
            </w:r>
            <w:proofErr w:type="spellEnd"/>
            <w:r w:rsidRPr="00B8402A">
              <w:rPr>
                <w:rFonts w:ascii="Arial" w:hAnsi="Arial" w:cs="Times New Roman"/>
              </w:rPr>
              <w:t xml:space="preserve"> til </w:t>
            </w:r>
            <w:proofErr w:type="spellStart"/>
            <w:r w:rsidRPr="00B8402A">
              <w:rPr>
                <w:rFonts w:ascii="Arial" w:hAnsi="Arial" w:cs="Times New Roman"/>
              </w:rPr>
              <w:t>dopamin</w:t>
            </w:r>
            <w:proofErr w:type="spellEnd"/>
            <w:r w:rsidRPr="00B8402A">
              <w:rPr>
                <w:rFonts w:ascii="Arial" w:hAnsi="Arial" w:cs="Times New Roman"/>
              </w:rPr>
              <w:t xml:space="preserve">. Gør at mere </w:t>
            </w:r>
            <w:proofErr w:type="spellStart"/>
            <w:r w:rsidRPr="00B8402A">
              <w:rPr>
                <w:rFonts w:ascii="Arial" w:hAnsi="Arial" w:cs="Times New Roman"/>
              </w:rPr>
              <w:t>Levodopa</w:t>
            </w:r>
            <w:proofErr w:type="spellEnd"/>
            <w:r w:rsidRPr="00B8402A">
              <w:rPr>
                <w:rFonts w:ascii="Arial" w:hAnsi="Arial" w:cs="Times New Roman"/>
              </w:rPr>
              <w:t xml:space="preserve"> kan nå virkningsstedet og blive til </w:t>
            </w:r>
            <w:proofErr w:type="spellStart"/>
            <w:r w:rsidRPr="00B8402A">
              <w:rPr>
                <w:rFonts w:ascii="Arial" w:hAnsi="Arial" w:cs="Times New Roman"/>
              </w:rPr>
              <w:t>dopamin</w:t>
            </w:r>
            <w:proofErr w:type="spellEnd"/>
            <w:r w:rsidRPr="00B8402A">
              <w:rPr>
                <w:rFonts w:ascii="Arial" w:hAnsi="Arial" w:cs="Times New Roman"/>
              </w:rPr>
              <w:t xml:space="preserve"> her.</w:t>
            </w:r>
          </w:p>
          <w:p w14:paraId="6452C57C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proofErr w:type="spellStart"/>
            <w:r w:rsidRPr="00B8402A">
              <w:rPr>
                <w:rFonts w:ascii="Arial" w:hAnsi="Arial" w:cs="Times New Roman"/>
                <w:i/>
                <w:iCs/>
                <w:u w:val="single"/>
              </w:rPr>
              <w:t>Farmakokinetik</w:t>
            </w:r>
            <w:proofErr w:type="spellEnd"/>
            <w:r w:rsidRPr="00B8402A">
              <w:rPr>
                <w:rFonts w:ascii="Arial" w:hAnsi="Arial" w:cs="Times New Roman"/>
                <w:i/>
                <w:iCs/>
                <w:u w:val="single"/>
              </w:rPr>
              <w:t>:</w:t>
            </w:r>
          </w:p>
          <w:p w14:paraId="566F0DF9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 xml:space="preserve">- Halveringstid; </w:t>
            </w:r>
            <w:proofErr w:type="spellStart"/>
            <w:r w:rsidRPr="00B8402A">
              <w:rPr>
                <w:rFonts w:ascii="Arial" w:hAnsi="Arial" w:cs="Times New Roman"/>
              </w:rPr>
              <w:t>benserazid</w:t>
            </w:r>
            <w:proofErr w:type="spellEnd"/>
            <w:r w:rsidRPr="00B8402A">
              <w:rPr>
                <w:rFonts w:ascii="Arial" w:hAnsi="Arial" w:cs="Times New Roman"/>
              </w:rPr>
              <w:t xml:space="preserve">: kort, </w:t>
            </w:r>
            <w:proofErr w:type="spellStart"/>
            <w:r w:rsidRPr="00B8402A">
              <w:rPr>
                <w:rFonts w:ascii="Arial" w:hAnsi="Arial" w:cs="Times New Roman"/>
              </w:rPr>
              <w:t>karbidopa</w:t>
            </w:r>
            <w:proofErr w:type="spellEnd"/>
            <w:r w:rsidRPr="00B8402A">
              <w:rPr>
                <w:rFonts w:ascii="Arial" w:hAnsi="Arial" w:cs="Times New Roman"/>
              </w:rPr>
              <w:t>: 2 timer.</w:t>
            </w:r>
          </w:p>
          <w:p w14:paraId="7D77E0D2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</w:p>
          <w:p w14:paraId="7AF8D08C" w14:textId="19FF4717" w:rsidR="00F51313" w:rsidRPr="00915592" w:rsidRDefault="00915592" w:rsidP="00F51313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r w:rsidRPr="00915592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COMT-hæmmer</w:t>
            </w:r>
          </w:p>
          <w:p w14:paraId="3665793B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6DE89556" w14:textId="3B57F17D" w:rsidR="00F51313" w:rsidRPr="00B8402A" w:rsidRDefault="00E45A4A" w:rsidP="00F51313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COMT</w:t>
            </w:r>
            <w:r w:rsidR="00694D76">
              <w:rPr>
                <w:rFonts w:ascii="Arial" w:hAnsi="Arial" w:cs="Times New Roman"/>
              </w:rPr>
              <w:t>-</w:t>
            </w:r>
            <w:proofErr w:type="spellStart"/>
            <w:r w:rsidR="00694D76">
              <w:rPr>
                <w:rFonts w:ascii="Arial" w:hAnsi="Arial" w:cs="Times New Roman"/>
              </w:rPr>
              <w:t>hæmmere</w:t>
            </w:r>
            <w:proofErr w:type="spellEnd"/>
            <w:r w:rsidR="00694D76">
              <w:rPr>
                <w:rFonts w:ascii="Arial" w:hAnsi="Arial" w:cs="Times New Roman"/>
              </w:rPr>
              <w:t xml:space="preserve"> forhindrer COMT i at nedbryde </w:t>
            </w:r>
            <w:proofErr w:type="spellStart"/>
            <w:r w:rsidR="00694D76">
              <w:rPr>
                <w:rFonts w:ascii="Arial" w:hAnsi="Arial" w:cs="Times New Roman"/>
              </w:rPr>
              <w:t>dopamin</w:t>
            </w:r>
            <w:proofErr w:type="spellEnd"/>
            <w:r w:rsidR="00694D76">
              <w:rPr>
                <w:rFonts w:ascii="Arial" w:hAnsi="Arial" w:cs="Times New Roman"/>
              </w:rPr>
              <w:t xml:space="preserve"> ekstracellulært. </w:t>
            </w:r>
            <w:r w:rsidR="00F51313" w:rsidRPr="00B8402A">
              <w:rPr>
                <w:rFonts w:ascii="Arial" w:hAnsi="Arial" w:cs="Times New Roman"/>
              </w:rPr>
              <w:t xml:space="preserve">Virker kun ved samtidig behandling med </w:t>
            </w:r>
            <w:proofErr w:type="spellStart"/>
            <w:r w:rsidR="00F51313" w:rsidRPr="00B8402A">
              <w:rPr>
                <w:rFonts w:ascii="Arial" w:hAnsi="Arial" w:cs="Times New Roman"/>
              </w:rPr>
              <w:t>Levodopa</w:t>
            </w:r>
            <w:proofErr w:type="spellEnd"/>
            <w:r w:rsidR="00541D75">
              <w:rPr>
                <w:rFonts w:ascii="Arial" w:hAnsi="Arial" w:cs="Times New Roman"/>
              </w:rPr>
              <w:t xml:space="preserve">, da præparaterne øger biotilgængeligheden af </w:t>
            </w:r>
            <w:proofErr w:type="spellStart"/>
            <w:r w:rsidR="00541D75">
              <w:rPr>
                <w:rFonts w:ascii="Arial" w:hAnsi="Arial" w:cs="Times New Roman"/>
              </w:rPr>
              <w:t>levodopa</w:t>
            </w:r>
            <w:proofErr w:type="spellEnd"/>
            <w:r w:rsidR="00541D75">
              <w:rPr>
                <w:rFonts w:ascii="Arial" w:hAnsi="Arial" w:cs="Times New Roman"/>
              </w:rPr>
              <w:t xml:space="preserve"> og forlænger derved det kliniske respons.</w:t>
            </w:r>
          </w:p>
          <w:p w14:paraId="0EB5FA55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76514C8B" w14:textId="11878421" w:rsidR="00F51313" w:rsidRPr="00B8402A" w:rsidRDefault="00541D75" w:rsidP="00F51313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Fremskreden </w:t>
            </w:r>
            <w:proofErr w:type="spellStart"/>
            <w:r>
              <w:rPr>
                <w:rFonts w:ascii="Arial" w:hAnsi="Arial" w:cs="Times New Roman"/>
              </w:rPr>
              <w:t>parkinsons</w:t>
            </w:r>
            <w:proofErr w:type="spellEnd"/>
            <w:r>
              <w:rPr>
                <w:rFonts w:ascii="Arial" w:hAnsi="Arial" w:cs="Times New Roman"/>
              </w:rPr>
              <w:t xml:space="preserve"> med on/</w:t>
            </w:r>
            <w:proofErr w:type="spellStart"/>
            <w:r>
              <w:rPr>
                <w:rFonts w:ascii="Arial" w:hAnsi="Arial" w:cs="Times New Roman"/>
              </w:rPr>
              <w:t>off</w:t>
            </w:r>
            <w:proofErr w:type="spellEnd"/>
            <w:r>
              <w:rPr>
                <w:rFonts w:ascii="Arial" w:hAnsi="Arial" w:cs="Times New Roman"/>
              </w:rPr>
              <w:t xml:space="preserve"> fænomener.</w:t>
            </w:r>
          </w:p>
          <w:p w14:paraId="27F25D25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Kontraindikationer:</w:t>
            </w:r>
          </w:p>
          <w:p w14:paraId="17EC169B" w14:textId="40CDE081" w:rsidR="00F51313" w:rsidRPr="00B8402A" w:rsidRDefault="00F51313" w:rsidP="00F51313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 xml:space="preserve">Nedsat leverfunktion, MAO-hæmmer behandling. </w:t>
            </w:r>
            <w:r w:rsidR="00E45A4A">
              <w:rPr>
                <w:rFonts w:ascii="Arial" w:hAnsi="Arial" w:cs="Times New Roman"/>
              </w:rPr>
              <w:t xml:space="preserve">Gravide og ammende. </w:t>
            </w:r>
          </w:p>
          <w:p w14:paraId="572BFAB2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14:paraId="4D3D55F4" w14:textId="0468BAAB" w:rsidR="00F51313" w:rsidRPr="00B8402A" w:rsidRDefault="00E45A4A" w:rsidP="00F51313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Kvalme</w:t>
            </w:r>
            <w:r w:rsidR="00F51313" w:rsidRPr="00B8402A">
              <w:rPr>
                <w:rFonts w:ascii="Arial" w:hAnsi="Arial" w:cs="Times New Roman"/>
              </w:rPr>
              <w:t>, mavesmerter, diare</w:t>
            </w:r>
            <w:r>
              <w:rPr>
                <w:rFonts w:ascii="Arial" w:hAnsi="Arial" w:cs="Times New Roman"/>
              </w:rPr>
              <w:t xml:space="preserve"> og </w:t>
            </w:r>
            <w:proofErr w:type="spellStart"/>
            <w:r>
              <w:rPr>
                <w:rFonts w:ascii="Arial" w:hAnsi="Arial" w:cs="Times New Roman"/>
              </w:rPr>
              <w:t>hyperkinesier</w:t>
            </w:r>
            <w:proofErr w:type="spellEnd"/>
            <w:r w:rsidR="00F51313" w:rsidRPr="00B8402A">
              <w:rPr>
                <w:rFonts w:ascii="Arial" w:hAnsi="Arial" w:cs="Times New Roman"/>
              </w:rPr>
              <w:t>.</w:t>
            </w:r>
          </w:p>
          <w:p w14:paraId="451762EF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Interaktioner:</w:t>
            </w:r>
          </w:p>
          <w:p w14:paraId="2D3B36E1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>MAO-hæmmer (</w:t>
            </w:r>
            <w:proofErr w:type="spellStart"/>
            <w:r w:rsidRPr="00B8402A">
              <w:rPr>
                <w:rFonts w:ascii="Arial" w:hAnsi="Arial" w:cs="Times New Roman"/>
              </w:rPr>
              <w:t>hypertensiv</w:t>
            </w:r>
            <w:proofErr w:type="spellEnd"/>
            <w:r w:rsidRPr="00B8402A">
              <w:rPr>
                <w:rFonts w:ascii="Arial" w:hAnsi="Arial" w:cs="Times New Roman"/>
              </w:rPr>
              <w:t xml:space="preserve"> krise). </w:t>
            </w:r>
            <w:proofErr w:type="spellStart"/>
            <w:r w:rsidRPr="00B8402A">
              <w:rPr>
                <w:rFonts w:ascii="Arial" w:hAnsi="Arial" w:cs="Times New Roman"/>
              </w:rPr>
              <w:t>Levodopa</w:t>
            </w:r>
            <w:proofErr w:type="spellEnd"/>
            <w:r w:rsidRPr="00B8402A">
              <w:rPr>
                <w:rFonts w:ascii="Arial" w:hAnsi="Arial" w:cs="Times New Roman"/>
              </w:rPr>
              <w:t xml:space="preserve"> (nedsætter </w:t>
            </w:r>
            <w:proofErr w:type="spellStart"/>
            <w:r w:rsidRPr="00B8402A">
              <w:rPr>
                <w:rFonts w:ascii="Arial" w:hAnsi="Arial" w:cs="Times New Roman"/>
              </w:rPr>
              <w:t>clearance</w:t>
            </w:r>
            <w:proofErr w:type="spellEnd"/>
            <w:r w:rsidRPr="00B8402A">
              <w:rPr>
                <w:rFonts w:ascii="Arial" w:hAnsi="Arial" w:cs="Times New Roman"/>
              </w:rPr>
              <w:t>), Jernpræparater (nedsætter absorption).</w:t>
            </w:r>
          </w:p>
          <w:p w14:paraId="53B5173A" w14:textId="77777777" w:rsidR="00F51313" w:rsidRPr="00BC1E35" w:rsidRDefault="00F51313" w:rsidP="00F51313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proofErr w:type="spellStart"/>
            <w:r w:rsidRPr="00BC1E35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Farmakokinetik</w:t>
            </w:r>
            <w:proofErr w:type="spellEnd"/>
            <w:r w:rsidRPr="00BC1E35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:</w:t>
            </w:r>
          </w:p>
          <w:p w14:paraId="6548DC77" w14:textId="77777777" w:rsidR="00F51313" w:rsidRPr="00BC1E35" w:rsidRDefault="00F51313" w:rsidP="00F51313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BC1E35">
              <w:rPr>
                <w:rFonts w:ascii="Arial" w:hAnsi="Arial" w:cs="Times New Roman"/>
                <w:highlight w:val="yellow"/>
              </w:rPr>
              <w:t xml:space="preserve">Absorption; Stor </w:t>
            </w:r>
            <w:proofErr w:type="spellStart"/>
            <w:r w:rsidRPr="00BC1E35">
              <w:rPr>
                <w:rFonts w:ascii="Arial" w:hAnsi="Arial" w:cs="Times New Roman"/>
                <w:highlight w:val="yellow"/>
              </w:rPr>
              <w:t>first</w:t>
            </w:r>
            <w:proofErr w:type="spellEnd"/>
            <w:r w:rsidRPr="00BC1E35">
              <w:rPr>
                <w:rFonts w:ascii="Arial" w:hAnsi="Arial" w:cs="Times New Roman"/>
                <w:highlight w:val="yellow"/>
              </w:rPr>
              <w:t xml:space="preserve"> </w:t>
            </w:r>
            <w:proofErr w:type="spellStart"/>
            <w:r w:rsidRPr="00BC1E35">
              <w:rPr>
                <w:rFonts w:ascii="Arial" w:hAnsi="Arial" w:cs="Times New Roman"/>
                <w:highlight w:val="yellow"/>
              </w:rPr>
              <w:t>pass</w:t>
            </w:r>
            <w:proofErr w:type="spellEnd"/>
            <w:r w:rsidRPr="00BC1E35">
              <w:rPr>
                <w:rFonts w:ascii="Arial" w:hAnsi="Arial" w:cs="Times New Roman"/>
                <w:highlight w:val="yellow"/>
              </w:rPr>
              <w:t xml:space="preserve"> metabolisme, varierende biotilgængelighed.</w:t>
            </w:r>
          </w:p>
          <w:p w14:paraId="373EBD9D" w14:textId="77777777" w:rsidR="00F51313" w:rsidRPr="00BC1E35" w:rsidRDefault="00F51313" w:rsidP="00F51313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BC1E35">
              <w:rPr>
                <w:rFonts w:ascii="Arial" w:hAnsi="Arial" w:cs="Times New Roman"/>
                <w:highlight w:val="yellow"/>
              </w:rPr>
              <w:t xml:space="preserve">Elimination; </w:t>
            </w:r>
            <w:proofErr w:type="spellStart"/>
            <w:r w:rsidRPr="00BC1E35">
              <w:rPr>
                <w:rFonts w:ascii="Arial" w:hAnsi="Arial" w:cs="Times New Roman"/>
                <w:highlight w:val="yellow"/>
              </w:rPr>
              <w:t>metaboliseres</w:t>
            </w:r>
            <w:proofErr w:type="spellEnd"/>
            <w:r w:rsidRPr="00BC1E35">
              <w:rPr>
                <w:rFonts w:ascii="Arial" w:hAnsi="Arial" w:cs="Times New Roman"/>
                <w:highlight w:val="yellow"/>
              </w:rPr>
              <w:t xml:space="preserve"> i lever.</w:t>
            </w:r>
          </w:p>
          <w:p w14:paraId="7CFCF797" w14:textId="77777777" w:rsidR="00F51313" w:rsidRPr="00BC1E35" w:rsidRDefault="00F51313" w:rsidP="00F51313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BC1E35">
              <w:rPr>
                <w:rFonts w:ascii="Arial" w:hAnsi="Arial" w:cs="Times New Roman"/>
                <w:highlight w:val="yellow"/>
              </w:rPr>
              <w:t>Halveringstid; 1 time.</w:t>
            </w:r>
          </w:p>
          <w:p w14:paraId="0FB3479B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</w:rPr>
            </w:pPr>
          </w:p>
          <w:p w14:paraId="6BCEC093" w14:textId="338C5D12" w:rsidR="00F51313" w:rsidRPr="00915592" w:rsidRDefault="00915592" w:rsidP="00F51313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r w:rsidRPr="00915592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MAO-B hæmmer</w:t>
            </w:r>
          </w:p>
          <w:p w14:paraId="75BEBB3D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31220C78" w14:textId="1D2AA7F0" w:rsidR="00F51313" w:rsidRPr="00B8402A" w:rsidRDefault="00930FAB" w:rsidP="00F51313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Hæmmer MAO-B</w:t>
            </w:r>
            <w:r w:rsidR="00F51313" w:rsidRPr="00B8402A">
              <w:rPr>
                <w:rFonts w:ascii="Arial" w:hAnsi="Arial" w:cs="Times New Roman"/>
              </w:rPr>
              <w:t xml:space="preserve">, som ellers nedbryder </w:t>
            </w:r>
            <w:proofErr w:type="spellStart"/>
            <w:r>
              <w:rPr>
                <w:rFonts w:ascii="Arial" w:hAnsi="Arial" w:cs="Times New Roman"/>
              </w:rPr>
              <w:t>dopamin</w:t>
            </w:r>
            <w:proofErr w:type="spellEnd"/>
            <w:r>
              <w:rPr>
                <w:rFonts w:ascii="Arial" w:hAnsi="Arial" w:cs="Times New Roman"/>
              </w:rPr>
              <w:t xml:space="preserve"> </w:t>
            </w:r>
            <w:proofErr w:type="spellStart"/>
            <w:r w:rsidR="00F51313" w:rsidRPr="00B8402A">
              <w:rPr>
                <w:rFonts w:ascii="Arial" w:hAnsi="Arial" w:cs="Times New Roman"/>
              </w:rPr>
              <w:t>intracellulært</w:t>
            </w:r>
            <w:proofErr w:type="spellEnd"/>
            <w:r>
              <w:rPr>
                <w:rFonts w:ascii="Arial" w:hAnsi="Arial" w:cs="Times New Roman"/>
              </w:rPr>
              <w:t xml:space="preserve"> i mitokondrierne </w:t>
            </w:r>
            <w:r w:rsidR="00F51313" w:rsidRPr="00B8402A">
              <w:rPr>
                <w:rFonts w:ascii="Arial" w:hAnsi="Arial" w:cs="Times New Roman"/>
              </w:rPr>
              <w:t xml:space="preserve">Kan forskyde behandling med </w:t>
            </w:r>
            <w:proofErr w:type="spellStart"/>
            <w:r w:rsidR="00F51313" w:rsidRPr="00B8402A">
              <w:rPr>
                <w:rFonts w:ascii="Arial" w:hAnsi="Arial" w:cs="Times New Roman"/>
              </w:rPr>
              <w:t>Levodopa</w:t>
            </w:r>
            <w:proofErr w:type="spellEnd"/>
            <w:r w:rsidR="00F51313" w:rsidRPr="00B8402A">
              <w:rPr>
                <w:rFonts w:ascii="Arial" w:hAnsi="Arial" w:cs="Times New Roman"/>
              </w:rPr>
              <w:t xml:space="preserve"> eller bruges sammen med.</w:t>
            </w:r>
          </w:p>
          <w:p w14:paraId="0245346F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33F93BD3" w14:textId="3580D4D6" w:rsidR="00F51313" w:rsidRPr="00B8402A" w:rsidRDefault="00930FAB" w:rsidP="00F51313">
            <w:pPr>
              <w:pStyle w:val="Brdtekst"/>
              <w:rPr>
                <w:rFonts w:ascii="Arial" w:hAnsi="Arial" w:cs="Times New Roman"/>
              </w:rPr>
            </w:pPr>
            <w:proofErr w:type="spellStart"/>
            <w:r>
              <w:rPr>
                <w:rFonts w:ascii="Arial" w:hAnsi="Arial" w:cs="Times New Roman"/>
              </w:rPr>
              <w:t>Parkinsons</w:t>
            </w:r>
            <w:proofErr w:type="spellEnd"/>
            <w:r>
              <w:rPr>
                <w:rFonts w:ascii="Arial" w:hAnsi="Arial" w:cs="Times New Roman"/>
              </w:rPr>
              <w:t xml:space="preserve"> </w:t>
            </w:r>
          </w:p>
          <w:p w14:paraId="7B78DBA7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Kontraindikationer:</w:t>
            </w:r>
          </w:p>
          <w:p w14:paraId="668F89E1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>Behandling med andre MAO-</w:t>
            </w:r>
            <w:proofErr w:type="spellStart"/>
            <w:r w:rsidRPr="00B8402A">
              <w:rPr>
                <w:rFonts w:ascii="Arial" w:hAnsi="Arial" w:cs="Times New Roman"/>
              </w:rPr>
              <w:t>hæmmere</w:t>
            </w:r>
            <w:proofErr w:type="spellEnd"/>
            <w:r w:rsidRPr="00B8402A">
              <w:rPr>
                <w:rFonts w:ascii="Arial" w:hAnsi="Arial" w:cs="Times New Roman"/>
              </w:rPr>
              <w:t>, SSRI, TCA.</w:t>
            </w:r>
          </w:p>
          <w:p w14:paraId="2BA97274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14:paraId="1E988D55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 xml:space="preserve">Mundtørhed, kvalme, </w:t>
            </w:r>
            <w:proofErr w:type="spellStart"/>
            <w:r w:rsidRPr="00B8402A">
              <w:rPr>
                <w:rFonts w:ascii="Arial" w:hAnsi="Arial" w:cs="Times New Roman"/>
              </w:rPr>
              <w:t>ortostatisk</w:t>
            </w:r>
            <w:proofErr w:type="spellEnd"/>
            <w:r w:rsidRPr="00B8402A">
              <w:rPr>
                <w:rFonts w:ascii="Arial" w:hAnsi="Arial" w:cs="Times New Roman"/>
              </w:rPr>
              <w:t xml:space="preserve"> </w:t>
            </w:r>
            <w:proofErr w:type="spellStart"/>
            <w:r w:rsidRPr="00B8402A">
              <w:rPr>
                <w:rFonts w:ascii="Arial" w:hAnsi="Arial" w:cs="Times New Roman"/>
              </w:rPr>
              <w:t>hypotension</w:t>
            </w:r>
            <w:proofErr w:type="spellEnd"/>
            <w:r w:rsidRPr="00B8402A">
              <w:rPr>
                <w:rFonts w:ascii="Arial" w:hAnsi="Arial" w:cs="Times New Roman"/>
              </w:rPr>
              <w:t xml:space="preserve">, svimmelhed, konfusion, </w:t>
            </w:r>
            <w:proofErr w:type="spellStart"/>
            <w:r w:rsidRPr="00B8402A">
              <w:rPr>
                <w:rFonts w:ascii="Arial" w:hAnsi="Arial" w:cs="Times New Roman"/>
              </w:rPr>
              <w:t>kardielle</w:t>
            </w:r>
            <w:proofErr w:type="spellEnd"/>
            <w:r w:rsidRPr="00B8402A">
              <w:rPr>
                <w:rFonts w:ascii="Arial" w:hAnsi="Arial" w:cs="Times New Roman"/>
              </w:rPr>
              <w:t xml:space="preserve"> </w:t>
            </w:r>
            <w:proofErr w:type="spellStart"/>
            <w:r w:rsidRPr="00B8402A">
              <w:rPr>
                <w:rFonts w:ascii="Arial" w:hAnsi="Arial" w:cs="Times New Roman"/>
              </w:rPr>
              <w:t>arytmier</w:t>
            </w:r>
            <w:proofErr w:type="spellEnd"/>
            <w:r w:rsidRPr="00B8402A">
              <w:rPr>
                <w:rFonts w:ascii="Arial" w:hAnsi="Arial" w:cs="Times New Roman"/>
              </w:rPr>
              <w:t>.</w:t>
            </w:r>
          </w:p>
          <w:p w14:paraId="5D72AA67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B8402A">
              <w:rPr>
                <w:rFonts w:ascii="Arial" w:hAnsi="Arial" w:cs="Times New Roman"/>
                <w:i/>
                <w:iCs/>
                <w:u w:val="single"/>
              </w:rPr>
              <w:lastRenderedPageBreak/>
              <w:t>Interaktioner:</w:t>
            </w:r>
          </w:p>
          <w:p w14:paraId="130017EC" w14:textId="77777777" w:rsidR="00F51313" w:rsidRPr="00B8402A" w:rsidRDefault="00F51313" w:rsidP="00F51313">
            <w:pPr>
              <w:pStyle w:val="Brdtekst"/>
              <w:rPr>
                <w:rFonts w:ascii="Arial" w:hAnsi="Arial" w:cs="Times New Roman"/>
              </w:rPr>
            </w:pPr>
            <w:r w:rsidRPr="00B8402A">
              <w:rPr>
                <w:rFonts w:ascii="Arial" w:hAnsi="Arial" w:cs="Times New Roman"/>
              </w:rPr>
              <w:t>SSRI/TCA (</w:t>
            </w:r>
            <w:proofErr w:type="spellStart"/>
            <w:r w:rsidRPr="00B8402A">
              <w:rPr>
                <w:rFonts w:ascii="Arial" w:hAnsi="Arial" w:cs="Times New Roman"/>
              </w:rPr>
              <w:t>serotonergt</w:t>
            </w:r>
            <w:proofErr w:type="spellEnd"/>
            <w:r w:rsidRPr="00B8402A">
              <w:rPr>
                <w:rFonts w:ascii="Arial" w:hAnsi="Arial" w:cs="Times New Roman"/>
              </w:rPr>
              <w:t xml:space="preserve"> syndrom), </w:t>
            </w:r>
            <w:proofErr w:type="spellStart"/>
            <w:r w:rsidRPr="00B8402A">
              <w:rPr>
                <w:rFonts w:ascii="Arial" w:hAnsi="Arial" w:cs="Times New Roman"/>
              </w:rPr>
              <w:t>Levodopa</w:t>
            </w:r>
            <w:proofErr w:type="spellEnd"/>
            <w:r w:rsidRPr="00B8402A">
              <w:rPr>
                <w:rFonts w:ascii="Arial" w:hAnsi="Arial" w:cs="Times New Roman"/>
              </w:rPr>
              <w:t xml:space="preserve"> (forstærker virkning), MAO-</w:t>
            </w:r>
            <w:proofErr w:type="spellStart"/>
            <w:r w:rsidRPr="00B8402A">
              <w:rPr>
                <w:rFonts w:ascii="Arial" w:hAnsi="Arial" w:cs="Times New Roman"/>
              </w:rPr>
              <w:t>hæmmere</w:t>
            </w:r>
            <w:proofErr w:type="spellEnd"/>
            <w:r w:rsidRPr="00B8402A">
              <w:rPr>
                <w:rFonts w:ascii="Arial" w:hAnsi="Arial" w:cs="Times New Roman"/>
              </w:rPr>
              <w:t xml:space="preserve"> (</w:t>
            </w:r>
            <w:proofErr w:type="spellStart"/>
            <w:r w:rsidRPr="00B8402A">
              <w:rPr>
                <w:rFonts w:ascii="Arial" w:hAnsi="Arial" w:cs="Times New Roman"/>
              </w:rPr>
              <w:t>hypertensiv</w:t>
            </w:r>
            <w:proofErr w:type="spellEnd"/>
            <w:r w:rsidRPr="00B8402A">
              <w:rPr>
                <w:rFonts w:ascii="Arial" w:hAnsi="Arial" w:cs="Times New Roman"/>
              </w:rPr>
              <w:t xml:space="preserve"> krise).</w:t>
            </w:r>
          </w:p>
          <w:p w14:paraId="15FD94AA" w14:textId="77777777" w:rsidR="00F51313" w:rsidRPr="00B8402A" w:rsidRDefault="00F51313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6D3D2371" w14:textId="77777777" w:rsidR="00C94821" w:rsidRDefault="00C94821"/>
    <w:sectPr w:rsidR="00C94821" w:rsidSect="00BA319B">
      <w:headerReference w:type="default" r:id="rId9"/>
      <w:footerReference w:type="even" r:id="rId10"/>
      <w:footerReference w:type="default" r:id="rId11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58D320" w14:textId="77777777" w:rsidR="000200DD" w:rsidRDefault="000200DD" w:rsidP="001911A2">
      <w:r>
        <w:separator/>
      </w:r>
    </w:p>
  </w:endnote>
  <w:endnote w:type="continuationSeparator" w:id="0">
    <w:p w14:paraId="1A4BB3CB" w14:textId="77777777" w:rsidR="000200DD" w:rsidRDefault="000200DD" w:rsidP="00191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531E1" w14:textId="77777777" w:rsidR="000200DD" w:rsidRDefault="000200DD" w:rsidP="00D91FE2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end"/>
    </w:r>
  </w:p>
  <w:p w14:paraId="2B8B02BF" w14:textId="77777777" w:rsidR="000200DD" w:rsidRDefault="000200DD" w:rsidP="00A27C58">
    <w:pPr>
      <w:pStyle w:val="Sidefod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6CE828" w14:textId="34C53D56" w:rsidR="000200DD" w:rsidRDefault="000200DD" w:rsidP="00D91FE2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A97832">
      <w:rPr>
        <w:rStyle w:val="Sidetal"/>
        <w:noProof/>
      </w:rPr>
      <w:t>10</w:t>
    </w:r>
    <w:r>
      <w:rPr>
        <w:rStyle w:val="Sidetal"/>
      </w:rPr>
      <w:fldChar w:fldCharType="end"/>
    </w:r>
  </w:p>
  <w:p w14:paraId="347E2562" w14:textId="77777777" w:rsidR="000200DD" w:rsidRDefault="000200DD" w:rsidP="00A27C58">
    <w:pPr>
      <w:pStyle w:val="Sidefod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915C2" w14:textId="77777777" w:rsidR="000200DD" w:rsidRDefault="000200DD" w:rsidP="001911A2">
      <w:r>
        <w:separator/>
      </w:r>
    </w:p>
  </w:footnote>
  <w:footnote w:type="continuationSeparator" w:id="0">
    <w:p w14:paraId="260FFA42" w14:textId="77777777" w:rsidR="000200DD" w:rsidRDefault="000200DD" w:rsidP="001911A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507620" w14:textId="77777777" w:rsidR="000200DD" w:rsidRPr="001911A2" w:rsidRDefault="000200DD">
    <w:pPr>
      <w:pStyle w:val="Sidehoved"/>
      <w:rPr>
        <w:rFonts w:ascii="Arial" w:hAnsi="Arial"/>
        <w:sz w:val="22"/>
      </w:rPr>
    </w:pPr>
    <w:r w:rsidRPr="001911A2">
      <w:rPr>
        <w:rFonts w:ascii="Arial" w:hAnsi="Arial"/>
        <w:sz w:val="22"/>
      </w:rPr>
      <w:t xml:space="preserve">8. </w:t>
    </w:r>
    <w:proofErr w:type="spellStart"/>
    <w:r w:rsidRPr="001911A2">
      <w:rPr>
        <w:rFonts w:ascii="Arial" w:hAnsi="Arial"/>
        <w:sz w:val="22"/>
      </w:rPr>
      <w:t>Antidepressiva</w:t>
    </w:r>
    <w:proofErr w:type="spellEnd"/>
    <w:r w:rsidRPr="001911A2">
      <w:rPr>
        <w:rFonts w:ascii="Arial" w:hAnsi="Arial"/>
        <w:sz w:val="22"/>
      </w:rPr>
      <w:t xml:space="preserve">, </w:t>
    </w:r>
    <w:proofErr w:type="spellStart"/>
    <w:r w:rsidRPr="001911A2">
      <w:rPr>
        <w:rFonts w:ascii="Arial" w:hAnsi="Arial"/>
        <w:sz w:val="22"/>
      </w:rPr>
      <w:t>antipsykotika</w:t>
    </w:r>
    <w:proofErr w:type="spellEnd"/>
    <w:r w:rsidRPr="001911A2">
      <w:rPr>
        <w:rFonts w:ascii="Arial" w:hAnsi="Arial"/>
        <w:sz w:val="22"/>
      </w:rPr>
      <w:t xml:space="preserve">, </w:t>
    </w:r>
    <w:proofErr w:type="spellStart"/>
    <w:r w:rsidRPr="001911A2">
      <w:rPr>
        <w:rFonts w:ascii="Arial" w:hAnsi="Arial"/>
        <w:sz w:val="22"/>
      </w:rPr>
      <w:t>parkinsonsmidler</w:t>
    </w:r>
    <w:proofErr w:type="spellEnd"/>
    <w:r w:rsidRPr="001911A2">
      <w:rPr>
        <w:rFonts w:ascii="Arial" w:hAnsi="Arial"/>
        <w:sz w:val="22"/>
      </w:rPr>
      <w:t xml:space="preserve"> – </w:t>
    </w:r>
    <w:r w:rsidRPr="001911A2">
      <w:rPr>
        <w:rFonts w:ascii="Arial" w:hAnsi="Arial"/>
        <w:i/>
        <w:sz w:val="22"/>
      </w:rPr>
      <w:t>Litteratur: Basal og klinisk farmakologi, 5. udg. 2014, kap. 45, 47, 48 og 52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75D2"/>
    <w:multiLevelType w:val="multilevel"/>
    <w:tmpl w:val="8D30039E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7225F66"/>
    <w:multiLevelType w:val="hybridMultilevel"/>
    <w:tmpl w:val="1C02C694"/>
    <w:lvl w:ilvl="0" w:tplc="6ADA9D68">
      <w:numFmt w:val="bullet"/>
      <w:lvlText w:val="-"/>
      <w:lvlJc w:val="left"/>
      <w:pPr>
        <w:ind w:left="720" w:hanging="360"/>
      </w:pPr>
      <w:rPr>
        <w:rFonts w:ascii="Arial" w:eastAsiaTheme="minorEastAsia" w:hAnsi="Aria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D01EE"/>
    <w:multiLevelType w:val="multilevel"/>
    <w:tmpl w:val="5A9A1F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/>
        <w:iCs/>
        <w:position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/>
        <w:bCs/>
        <w:i/>
        <w:iCs/>
        <w:position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/>
        <w:bCs/>
        <w:i/>
        <w:iCs/>
        <w:position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/>
        <w:bCs/>
        <w:i/>
        <w:iCs/>
        <w:position w:val="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/>
        <w:bCs/>
        <w:i/>
        <w:iCs/>
        <w:position w:val="0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/>
        <w:bCs/>
        <w:i/>
        <w:iCs/>
        <w:position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  <w:bCs/>
        <w:i/>
        <w:iCs/>
        <w:position w:val="0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/>
        <w:bCs/>
        <w:i/>
        <w:iCs/>
        <w:position w:val="0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/>
        <w:bCs/>
        <w:i/>
        <w:iCs/>
        <w:position w:val="0"/>
      </w:rPr>
    </w:lvl>
  </w:abstractNum>
  <w:abstractNum w:abstractNumId="3">
    <w:nsid w:val="11E41555"/>
    <w:multiLevelType w:val="multilevel"/>
    <w:tmpl w:val="1BAE666E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13EA236A"/>
    <w:multiLevelType w:val="multilevel"/>
    <w:tmpl w:val="9F5E4AB4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20842794"/>
    <w:multiLevelType w:val="multilevel"/>
    <w:tmpl w:val="4BDEEFBA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23C57CD9"/>
    <w:multiLevelType w:val="multilevel"/>
    <w:tmpl w:val="E7809608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2745365F"/>
    <w:multiLevelType w:val="multilevel"/>
    <w:tmpl w:val="52F28E3E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>
    <w:nsid w:val="331C7AF8"/>
    <w:multiLevelType w:val="hybridMultilevel"/>
    <w:tmpl w:val="50846EAA"/>
    <w:lvl w:ilvl="0" w:tplc="8014F172">
      <w:numFmt w:val="bullet"/>
      <w:lvlText w:val="-"/>
      <w:lvlJc w:val="left"/>
      <w:pPr>
        <w:ind w:left="720" w:hanging="360"/>
      </w:pPr>
      <w:rPr>
        <w:rFonts w:ascii="Arial" w:eastAsiaTheme="minorEastAsia" w:hAnsi="Aria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64086"/>
    <w:multiLevelType w:val="multilevel"/>
    <w:tmpl w:val="3A46DB04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374F028F"/>
    <w:multiLevelType w:val="multilevel"/>
    <w:tmpl w:val="C0DEBBC2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3C6533B6"/>
    <w:multiLevelType w:val="multilevel"/>
    <w:tmpl w:val="201086C2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457261CB"/>
    <w:multiLevelType w:val="multilevel"/>
    <w:tmpl w:val="E8F6C1E6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0"/>
  </w:num>
  <w:num w:numId="5">
    <w:abstractNumId w:val="12"/>
  </w:num>
  <w:num w:numId="6">
    <w:abstractNumId w:val="2"/>
  </w:num>
  <w:num w:numId="7">
    <w:abstractNumId w:val="0"/>
  </w:num>
  <w:num w:numId="8">
    <w:abstractNumId w:val="5"/>
  </w:num>
  <w:num w:numId="9">
    <w:abstractNumId w:val="11"/>
  </w:num>
  <w:num w:numId="10">
    <w:abstractNumId w:val="7"/>
  </w:num>
  <w:num w:numId="11">
    <w:abstractNumId w:val="9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1A2"/>
    <w:rsid w:val="000200DD"/>
    <w:rsid w:val="00050047"/>
    <w:rsid w:val="00061772"/>
    <w:rsid w:val="00093F15"/>
    <w:rsid w:val="0009651E"/>
    <w:rsid w:val="000A43D0"/>
    <w:rsid w:val="000E339C"/>
    <w:rsid w:val="00107B65"/>
    <w:rsid w:val="0011002A"/>
    <w:rsid w:val="00117271"/>
    <w:rsid w:val="00117960"/>
    <w:rsid w:val="0012024B"/>
    <w:rsid w:val="00174447"/>
    <w:rsid w:val="00187A2F"/>
    <w:rsid w:val="001911A2"/>
    <w:rsid w:val="001A08AA"/>
    <w:rsid w:val="001A791E"/>
    <w:rsid w:val="001B43B7"/>
    <w:rsid w:val="001B636A"/>
    <w:rsid w:val="001C05E4"/>
    <w:rsid w:val="001E0BED"/>
    <w:rsid w:val="001E15E2"/>
    <w:rsid w:val="00217A22"/>
    <w:rsid w:val="00244EA9"/>
    <w:rsid w:val="00245CDD"/>
    <w:rsid w:val="002735FD"/>
    <w:rsid w:val="002866D1"/>
    <w:rsid w:val="00295C5C"/>
    <w:rsid w:val="002A2C7A"/>
    <w:rsid w:val="002E4661"/>
    <w:rsid w:val="00312D73"/>
    <w:rsid w:val="003523CD"/>
    <w:rsid w:val="00362B9B"/>
    <w:rsid w:val="003661BD"/>
    <w:rsid w:val="00390A21"/>
    <w:rsid w:val="003972DD"/>
    <w:rsid w:val="003B144D"/>
    <w:rsid w:val="003B702F"/>
    <w:rsid w:val="003E1C4A"/>
    <w:rsid w:val="004136BC"/>
    <w:rsid w:val="00423886"/>
    <w:rsid w:val="00440679"/>
    <w:rsid w:val="004530B1"/>
    <w:rsid w:val="004551EA"/>
    <w:rsid w:val="004927B5"/>
    <w:rsid w:val="00494845"/>
    <w:rsid w:val="004A7585"/>
    <w:rsid w:val="004A790E"/>
    <w:rsid w:val="004C21BE"/>
    <w:rsid w:val="004D5EB8"/>
    <w:rsid w:val="004E5592"/>
    <w:rsid w:val="004F14EA"/>
    <w:rsid w:val="004F3385"/>
    <w:rsid w:val="00511ADB"/>
    <w:rsid w:val="00521D86"/>
    <w:rsid w:val="00541D75"/>
    <w:rsid w:val="005473D6"/>
    <w:rsid w:val="00591201"/>
    <w:rsid w:val="005A677A"/>
    <w:rsid w:val="005C6565"/>
    <w:rsid w:val="005D0986"/>
    <w:rsid w:val="005D468E"/>
    <w:rsid w:val="005F1CD9"/>
    <w:rsid w:val="00616921"/>
    <w:rsid w:val="00694D76"/>
    <w:rsid w:val="00694DCA"/>
    <w:rsid w:val="006B7340"/>
    <w:rsid w:val="006E10CE"/>
    <w:rsid w:val="007058FB"/>
    <w:rsid w:val="007118F6"/>
    <w:rsid w:val="0071529C"/>
    <w:rsid w:val="00720D79"/>
    <w:rsid w:val="00744161"/>
    <w:rsid w:val="00753948"/>
    <w:rsid w:val="00793CE9"/>
    <w:rsid w:val="007A2999"/>
    <w:rsid w:val="007A58B4"/>
    <w:rsid w:val="007C6D3D"/>
    <w:rsid w:val="007D36B2"/>
    <w:rsid w:val="007F7BDA"/>
    <w:rsid w:val="0087349E"/>
    <w:rsid w:val="00881A30"/>
    <w:rsid w:val="0089575A"/>
    <w:rsid w:val="008A6EE7"/>
    <w:rsid w:val="008B12A8"/>
    <w:rsid w:val="008B5AC0"/>
    <w:rsid w:val="009026FA"/>
    <w:rsid w:val="00907322"/>
    <w:rsid w:val="00907D59"/>
    <w:rsid w:val="00915592"/>
    <w:rsid w:val="009208C5"/>
    <w:rsid w:val="00930FAB"/>
    <w:rsid w:val="00954D86"/>
    <w:rsid w:val="009E3D8C"/>
    <w:rsid w:val="00A27C58"/>
    <w:rsid w:val="00A3539A"/>
    <w:rsid w:val="00A97832"/>
    <w:rsid w:val="00AA0D6A"/>
    <w:rsid w:val="00AA0EA5"/>
    <w:rsid w:val="00AC347C"/>
    <w:rsid w:val="00AD7535"/>
    <w:rsid w:val="00B2461C"/>
    <w:rsid w:val="00B258F9"/>
    <w:rsid w:val="00B25924"/>
    <w:rsid w:val="00B3146A"/>
    <w:rsid w:val="00B31ED0"/>
    <w:rsid w:val="00B53186"/>
    <w:rsid w:val="00B72671"/>
    <w:rsid w:val="00B8402A"/>
    <w:rsid w:val="00B90872"/>
    <w:rsid w:val="00BA319B"/>
    <w:rsid w:val="00BA4426"/>
    <w:rsid w:val="00BB09B9"/>
    <w:rsid w:val="00BB0E3D"/>
    <w:rsid w:val="00BC1E35"/>
    <w:rsid w:val="00BE2D29"/>
    <w:rsid w:val="00C07FC2"/>
    <w:rsid w:val="00C47032"/>
    <w:rsid w:val="00C53A72"/>
    <w:rsid w:val="00C56665"/>
    <w:rsid w:val="00C94821"/>
    <w:rsid w:val="00CB2DC1"/>
    <w:rsid w:val="00D06780"/>
    <w:rsid w:val="00D06CE6"/>
    <w:rsid w:val="00D11EBF"/>
    <w:rsid w:val="00D22604"/>
    <w:rsid w:val="00D41A9F"/>
    <w:rsid w:val="00D65020"/>
    <w:rsid w:val="00D91FE2"/>
    <w:rsid w:val="00D94C55"/>
    <w:rsid w:val="00DA0A45"/>
    <w:rsid w:val="00DA1B85"/>
    <w:rsid w:val="00DC5406"/>
    <w:rsid w:val="00E10BA8"/>
    <w:rsid w:val="00E11E5A"/>
    <w:rsid w:val="00E13FDA"/>
    <w:rsid w:val="00E45A4A"/>
    <w:rsid w:val="00E63BCC"/>
    <w:rsid w:val="00E76CC5"/>
    <w:rsid w:val="00E90D7B"/>
    <w:rsid w:val="00E96080"/>
    <w:rsid w:val="00EA4C34"/>
    <w:rsid w:val="00EB49DD"/>
    <w:rsid w:val="00ED608E"/>
    <w:rsid w:val="00EF700C"/>
    <w:rsid w:val="00F13377"/>
    <w:rsid w:val="00F266B1"/>
    <w:rsid w:val="00F3423C"/>
    <w:rsid w:val="00F51313"/>
    <w:rsid w:val="00F64E4F"/>
    <w:rsid w:val="00FA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2FBC0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1911A2"/>
    <w:pPr>
      <w:tabs>
        <w:tab w:val="center" w:pos="4153"/>
        <w:tab w:val="right" w:pos="830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1911A2"/>
  </w:style>
  <w:style w:type="paragraph" w:styleId="Sidefod">
    <w:name w:val="footer"/>
    <w:basedOn w:val="Normal"/>
    <w:link w:val="SidefodTegn"/>
    <w:uiPriority w:val="99"/>
    <w:unhideWhenUsed/>
    <w:rsid w:val="001911A2"/>
    <w:pPr>
      <w:tabs>
        <w:tab w:val="center" w:pos="4153"/>
        <w:tab w:val="right" w:pos="8306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1911A2"/>
  </w:style>
  <w:style w:type="table" w:styleId="Tabelgitter">
    <w:name w:val="Table Grid"/>
    <w:basedOn w:val="Tabel-Normal"/>
    <w:uiPriority w:val="59"/>
    <w:rsid w:val="00D06C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rdtekst">
    <w:name w:val="Body Text"/>
    <w:link w:val="BrdtekstTegn"/>
    <w:rsid w:val="00B3146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B3146A"/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paragraph" w:styleId="Listeafsnit">
    <w:name w:val="List Paragraph"/>
    <w:basedOn w:val="Normal"/>
    <w:uiPriority w:val="34"/>
    <w:qFormat/>
    <w:rsid w:val="00117960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F14EA"/>
    <w:rPr>
      <w:rFonts w:ascii="Lucida Grande" w:hAnsi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F14EA"/>
    <w:rPr>
      <w:rFonts w:ascii="Lucida Grande" w:hAnsi="Lucida Grande"/>
      <w:sz w:val="18"/>
      <w:szCs w:val="18"/>
    </w:rPr>
  </w:style>
  <w:style w:type="character" w:styleId="Sidetal">
    <w:name w:val="page number"/>
    <w:basedOn w:val="Standardskrifttypeiafsnit"/>
    <w:uiPriority w:val="99"/>
    <w:semiHidden/>
    <w:unhideWhenUsed/>
    <w:rsid w:val="00A27C5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1911A2"/>
    <w:pPr>
      <w:tabs>
        <w:tab w:val="center" w:pos="4153"/>
        <w:tab w:val="right" w:pos="830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1911A2"/>
  </w:style>
  <w:style w:type="paragraph" w:styleId="Sidefod">
    <w:name w:val="footer"/>
    <w:basedOn w:val="Normal"/>
    <w:link w:val="SidefodTegn"/>
    <w:uiPriority w:val="99"/>
    <w:unhideWhenUsed/>
    <w:rsid w:val="001911A2"/>
    <w:pPr>
      <w:tabs>
        <w:tab w:val="center" w:pos="4153"/>
        <w:tab w:val="right" w:pos="8306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1911A2"/>
  </w:style>
  <w:style w:type="table" w:styleId="Tabelgitter">
    <w:name w:val="Table Grid"/>
    <w:basedOn w:val="Tabel-Normal"/>
    <w:uiPriority w:val="59"/>
    <w:rsid w:val="00D06C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rdtekst">
    <w:name w:val="Body Text"/>
    <w:link w:val="BrdtekstTegn"/>
    <w:rsid w:val="00B3146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B3146A"/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paragraph" w:styleId="Listeafsnit">
    <w:name w:val="List Paragraph"/>
    <w:basedOn w:val="Normal"/>
    <w:uiPriority w:val="34"/>
    <w:qFormat/>
    <w:rsid w:val="00117960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F14EA"/>
    <w:rPr>
      <w:rFonts w:ascii="Lucida Grande" w:hAnsi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F14EA"/>
    <w:rPr>
      <w:rFonts w:ascii="Lucida Grande" w:hAnsi="Lucida Grande"/>
      <w:sz w:val="18"/>
      <w:szCs w:val="18"/>
    </w:rPr>
  </w:style>
  <w:style w:type="character" w:styleId="Sidetal">
    <w:name w:val="page number"/>
    <w:basedOn w:val="Standardskrifttypeiafsnit"/>
    <w:uiPriority w:val="99"/>
    <w:semiHidden/>
    <w:unhideWhenUsed/>
    <w:rsid w:val="00A27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10</Pages>
  <Words>2189</Words>
  <Characters>13357</Characters>
  <Application>Microsoft Macintosh Word</Application>
  <DocSecurity>0</DocSecurity>
  <Lines>111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mette  Jessen</dc:creator>
  <cp:keywords/>
  <dc:description/>
  <cp:lastModifiedBy>Simone Rønne</cp:lastModifiedBy>
  <cp:revision>3</cp:revision>
  <dcterms:created xsi:type="dcterms:W3CDTF">2017-12-17T12:57:00Z</dcterms:created>
  <dcterms:modified xsi:type="dcterms:W3CDTF">2018-10-19T09:59:00Z</dcterms:modified>
</cp:coreProperties>
</file>