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9215" w:type="dxa"/>
        <w:tblInd w:w="-318" w:type="dxa"/>
        <w:tblLook w:val="04A0" w:firstRow="1" w:lastRow="0" w:firstColumn="1" w:lastColumn="0" w:noHBand="0" w:noVBand="1"/>
      </w:tblPr>
      <w:tblGrid>
        <w:gridCol w:w="4576"/>
        <w:gridCol w:w="4639"/>
      </w:tblGrid>
      <w:tr w:rsidR="008F13F0" w14:paraId="67B7EE0F" w14:textId="77777777" w:rsidTr="008F13F0">
        <w:tc>
          <w:tcPr>
            <w:tcW w:w="4576" w:type="dxa"/>
          </w:tcPr>
          <w:p w14:paraId="4889E202" w14:textId="77777777" w:rsidR="008F13F0" w:rsidRPr="008F13F0" w:rsidRDefault="008F13F0">
            <w:pPr>
              <w:rPr>
                <w:rFonts w:ascii="Arial" w:hAnsi="Arial"/>
                <w:b/>
                <w:sz w:val="22"/>
              </w:rPr>
            </w:pPr>
            <w:bookmarkStart w:id="0" w:name="_GoBack"/>
            <w:bookmarkEnd w:id="0"/>
            <w:r w:rsidRPr="008F13F0">
              <w:rPr>
                <w:rFonts w:ascii="Arial" w:hAnsi="Arial"/>
                <w:b/>
                <w:sz w:val="22"/>
              </w:rPr>
              <w:t>Fag:</w:t>
            </w:r>
          </w:p>
          <w:p w14:paraId="6CB03194" w14:textId="77777777" w:rsidR="008F13F0" w:rsidRPr="008F13F0" w:rsidRDefault="008F13F0">
            <w:pPr>
              <w:rPr>
                <w:rFonts w:ascii="Arial" w:hAnsi="Arial"/>
                <w:b/>
                <w:sz w:val="22"/>
              </w:rPr>
            </w:pPr>
            <w:r w:rsidRPr="008F13F0">
              <w:rPr>
                <w:rFonts w:ascii="Arial" w:hAnsi="Arial"/>
                <w:b/>
                <w:sz w:val="22"/>
              </w:rPr>
              <w:t>Farmakologi</w:t>
            </w:r>
          </w:p>
        </w:tc>
        <w:tc>
          <w:tcPr>
            <w:tcW w:w="4639" w:type="dxa"/>
          </w:tcPr>
          <w:p w14:paraId="3E6AE637" w14:textId="77777777" w:rsidR="008F13F0" w:rsidRPr="008F13F0" w:rsidRDefault="008F13F0">
            <w:pPr>
              <w:rPr>
                <w:rFonts w:ascii="Arial" w:hAnsi="Arial"/>
                <w:b/>
                <w:sz w:val="22"/>
              </w:rPr>
            </w:pPr>
            <w:r w:rsidRPr="008F13F0">
              <w:rPr>
                <w:rFonts w:ascii="Arial" w:hAnsi="Arial"/>
                <w:b/>
                <w:sz w:val="22"/>
              </w:rPr>
              <w:t>År:</w:t>
            </w:r>
          </w:p>
          <w:p w14:paraId="260E91BE" w14:textId="77777777" w:rsidR="008F13F0" w:rsidRPr="008F13F0" w:rsidRDefault="008F13F0">
            <w:pPr>
              <w:rPr>
                <w:rFonts w:ascii="Arial" w:hAnsi="Arial"/>
                <w:sz w:val="22"/>
              </w:rPr>
            </w:pPr>
            <w:r w:rsidRPr="008F13F0">
              <w:rPr>
                <w:rFonts w:ascii="Arial" w:hAnsi="Arial"/>
                <w:sz w:val="22"/>
              </w:rPr>
              <w:t>2015</w:t>
            </w:r>
          </w:p>
          <w:p w14:paraId="17F9DD9F" w14:textId="77777777" w:rsidR="008F13F0" w:rsidRPr="008F13F0" w:rsidRDefault="008F13F0">
            <w:pPr>
              <w:rPr>
                <w:rFonts w:ascii="Arial" w:hAnsi="Arial"/>
                <w:sz w:val="22"/>
              </w:rPr>
            </w:pPr>
          </w:p>
        </w:tc>
      </w:tr>
      <w:tr w:rsidR="008F13F0" w14:paraId="165FA57F" w14:textId="77777777" w:rsidTr="008F13F0">
        <w:tc>
          <w:tcPr>
            <w:tcW w:w="4576" w:type="dxa"/>
          </w:tcPr>
          <w:p w14:paraId="1634925D" w14:textId="77777777" w:rsidR="008F13F0" w:rsidRPr="008F13F0" w:rsidRDefault="008F13F0">
            <w:pPr>
              <w:rPr>
                <w:rFonts w:ascii="Arial" w:hAnsi="Arial"/>
                <w:b/>
                <w:sz w:val="22"/>
              </w:rPr>
            </w:pPr>
            <w:r w:rsidRPr="008F13F0">
              <w:rPr>
                <w:rFonts w:ascii="Arial" w:hAnsi="Arial"/>
                <w:b/>
                <w:sz w:val="22"/>
              </w:rPr>
              <w:t>Emne</w:t>
            </w:r>
          </w:p>
        </w:tc>
        <w:tc>
          <w:tcPr>
            <w:tcW w:w="4639" w:type="dxa"/>
          </w:tcPr>
          <w:p w14:paraId="79DFB640" w14:textId="77777777" w:rsidR="008F13F0" w:rsidRPr="008F13F0" w:rsidRDefault="008F13F0">
            <w:pPr>
              <w:rPr>
                <w:rFonts w:ascii="Arial" w:hAnsi="Arial"/>
                <w:b/>
                <w:sz w:val="22"/>
              </w:rPr>
            </w:pPr>
            <w:r w:rsidRPr="008F13F0">
              <w:rPr>
                <w:rFonts w:ascii="Arial" w:hAnsi="Arial"/>
                <w:b/>
                <w:sz w:val="22"/>
              </w:rPr>
              <w:t>Note</w:t>
            </w:r>
          </w:p>
        </w:tc>
      </w:tr>
      <w:tr w:rsidR="003234B7" w14:paraId="5C681805" w14:textId="77777777" w:rsidTr="008F13F0">
        <w:tc>
          <w:tcPr>
            <w:tcW w:w="4576" w:type="dxa"/>
          </w:tcPr>
          <w:p w14:paraId="43C3A5C1" w14:textId="68323E36" w:rsidR="003234B7" w:rsidRPr="003234B7" w:rsidRDefault="003234B7">
            <w:pPr>
              <w:rPr>
                <w:rFonts w:ascii="Arial" w:hAnsi="Arial"/>
                <w:b/>
                <w:u w:val="single"/>
              </w:rPr>
            </w:pPr>
          </w:p>
          <w:p w14:paraId="75FDE3DF" w14:textId="77777777" w:rsidR="003234B7" w:rsidRDefault="003234B7">
            <w:pPr>
              <w:rPr>
                <w:rFonts w:ascii="Arial" w:hAnsi="Arial"/>
                <w:b/>
                <w:u w:val="single"/>
              </w:rPr>
            </w:pPr>
            <w:r w:rsidRPr="003234B7">
              <w:rPr>
                <w:rFonts w:ascii="Arial" w:hAnsi="Arial"/>
                <w:b/>
                <w:u w:val="single"/>
              </w:rPr>
              <w:t>Lægemiddel interaktioner</w:t>
            </w:r>
          </w:p>
          <w:p w14:paraId="281BD926" w14:textId="77777777" w:rsidR="003234B7" w:rsidRDefault="003234B7">
            <w:pPr>
              <w:rPr>
                <w:rFonts w:ascii="Arial" w:hAnsi="Arial"/>
              </w:rPr>
            </w:pPr>
          </w:p>
          <w:p w14:paraId="24827808" w14:textId="0E2498E3" w:rsidR="003234B7" w:rsidRPr="000625E9" w:rsidRDefault="000625E9">
            <w:pPr>
              <w:rPr>
                <w:rFonts w:ascii="Arial" w:hAnsi="Arial"/>
                <w:b/>
                <w:sz w:val="22"/>
              </w:rPr>
            </w:pPr>
            <w:r>
              <w:rPr>
                <w:rFonts w:ascii="Arial" w:hAnsi="Arial"/>
                <w:b/>
                <w:sz w:val="22"/>
              </w:rPr>
              <w:t>Lægemiddelinteraktion def.</w:t>
            </w:r>
          </w:p>
          <w:p w14:paraId="6BC327BA" w14:textId="77777777" w:rsidR="003234B7" w:rsidRDefault="003234B7">
            <w:pPr>
              <w:rPr>
                <w:rFonts w:ascii="Arial" w:hAnsi="Arial"/>
                <w:b/>
                <w:u w:val="single"/>
              </w:rPr>
            </w:pPr>
          </w:p>
          <w:p w14:paraId="38D7F15F" w14:textId="77777777" w:rsidR="003234B7" w:rsidRDefault="003234B7">
            <w:pPr>
              <w:rPr>
                <w:rFonts w:ascii="Arial" w:hAnsi="Arial"/>
                <w:b/>
                <w:u w:val="single"/>
              </w:rPr>
            </w:pPr>
          </w:p>
          <w:p w14:paraId="4F53AB71" w14:textId="77777777" w:rsidR="003234B7" w:rsidRDefault="003234B7">
            <w:pPr>
              <w:rPr>
                <w:rFonts w:ascii="Arial" w:hAnsi="Arial"/>
                <w:b/>
                <w:u w:val="single"/>
              </w:rPr>
            </w:pPr>
          </w:p>
          <w:p w14:paraId="57E4F766" w14:textId="77777777" w:rsidR="003234B7" w:rsidRDefault="003234B7">
            <w:pPr>
              <w:rPr>
                <w:rFonts w:ascii="Arial" w:hAnsi="Arial"/>
                <w:b/>
                <w:u w:val="single"/>
              </w:rPr>
            </w:pPr>
          </w:p>
          <w:p w14:paraId="05F3ECBC" w14:textId="77777777" w:rsidR="003234B7" w:rsidRDefault="003234B7">
            <w:pPr>
              <w:rPr>
                <w:rFonts w:ascii="Arial" w:hAnsi="Arial"/>
                <w:b/>
                <w:u w:val="single"/>
              </w:rPr>
            </w:pPr>
          </w:p>
          <w:p w14:paraId="79CD9241" w14:textId="77777777" w:rsidR="003234B7" w:rsidRDefault="003234B7">
            <w:pPr>
              <w:rPr>
                <w:rFonts w:ascii="Arial" w:hAnsi="Arial"/>
                <w:b/>
                <w:u w:val="single"/>
              </w:rPr>
            </w:pPr>
          </w:p>
          <w:p w14:paraId="5E70BD06" w14:textId="77777777" w:rsidR="003234B7" w:rsidRDefault="003234B7">
            <w:pPr>
              <w:rPr>
                <w:rFonts w:ascii="Arial" w:hAnsi="Arial"/>
                <w:b/>
                <w:u w:val="single"/>
              </w:rPr>
            </w:pPr>
          </w:p>
          <w:p w14:paraId="3B8C5B10" w14:textId="77777777" w:rsidR="00F273C8" w:rsidRDefault="00F273C8">
            <w:pPr>
              <w:rPr>
                <w:rFonts w:ascii="Arial" w:hAnsi="Arial"/>
                <w:b/>
                <w:sz w:val="22"/>
              </w:rPr>
            </w:pPr>
          </w:p>
          <w:p w14:paraId="1D11C9A6" w14:textId="77777777" w:rsidR="0085357C" w:rsidRDefault="0085357C">
            <w:pPr>
              <w:rPr>
                <w:rFonts w:ascii="Arial" w:hAnsi="Arial"/>
                <w:b/>
                <w:sz w:val="22"/>
              </w:rPr>
            </w:pPr>
          </w:p>
          <w:p w14:paraId="08F5BBA8" w14:textId="77777777" w:rsidR="00F273C8" w:rsidRPr="00F273C8" w:rsidRDefault="00F273C8">
            <w:pPr>
              <w:rPr>
                <w:rFonts w:ascii="Arial" w:hAnsi="Arial"/>
                <w:b/>
                <w:sz w:val="22"/>
              </w:rPr>
            </w:pPr>
          </w:p>
          <w:p w14:paraId="128E55EC" w14:textId="5A945E62" w:rsidR="00F273C8" w:rsidRPr="00F273C8" w:rsidRDefault="00F273C8">
            <w:pPr>
              <w:rPr>
                <w:rFonts w:ascii="Arial" w:hAnsi="Arial"/>
                <w:b/>
                <w:sz w:val="22"/>
              </w:rPr>
            </w:pPr>
            <w:r w:rsidRPr="00F273C8">
              <w:rPr>
                <w:rFonts w:ascii="Arial" w:hAnsi="Arial"/>
                <w:b/>
                <w:sz w:val="22"/>
              </w:rPr>
              <w:t>Klassifikation af interaktioner</w:t>
            </w:r>
          </w:p>
          <w:p w14:paraId="2610814C" w14:textId="77777777" w:rsidR="003234B7" w:rsidRDefault="003234B7">
            <w:pPr>
              <w:rPr>
                <w:rFonts w:ascii="Arial" w:hAnsi="Arial"/>
                <w:b/>
                <w:u w:val="single"/>
              </w:rPr>
            </w:pPr>
          </w:p>
          <w:p w14:paraId="623D0C96" w14:textId="77777777" w:rsidR="003234B7" w:rsidRDefault="003234B7">
            <w:pPr>
              <w:rPr>
                <w:rFonts w:ascii="Arial" w:hAnsi="Arial"/>
                <w:b/>
                <w:u w:val="single"/>
              </w:rPr>
            </w:pPr>
          </w:p>
          <w:p w14:paraId="5B18B760" w14:textId="77777777" w:rsidR="003234B7" w:rsidRDefault="003234B7">
            <w:pPr>
              <w:rPr>
                <w:rFonts w:ascii="Arial" w:hAnsi="Arial"/>
                <w:b/>
                <w:u w:val="single"/>
              </w:rPr>
            </w:pPr>
          </w:p>
          <w:p w14:paraId="41882219" w14:textId="77777777" w:rsidR="00F273C8" w:rsidRDefault="00F273C8">
            <w:pPr>
              <w:rPr>
                <w:rFonts w:ascii="Arial" w:hAnsi="Arial"/>
                <w:b/>
                <w:u w:val="single"/>
              </w:rPr>
            </w:pPr>
          </w:p>
          <w:p w14:paraId="1E90F685" w14:textId="77777777" w:rsidR="00F273C8" w:rsidRDefault="00F273C8">
            <w:pPr>
              <w:rPr>
                <w:rFonts w:ascii="Arial" w:hAnsi="Arial"/>
                <w:b/>
                <w:u w:val="single"/>
              </w:rPr>
            </w:pPr>
          </w:p>
          <w:p w14:paraId="7AF5B4AC" w14:textId="77777777" w:rsidR="0085357C" w:rsidRDefault="0085357C">
            <w:pPr>
              <w:rPr>
                <w:rFonts w:ascii="Arial" w:hAnsi="Arial"/>
                <w:b/>
                <w:u w:val="single"/>
              </w:rPr>
            </w:pPr>
          </w:p>
          <w:p w14:paraId="60435EEC" w14:textId="77777777" w:rsidR="00F273C8" w:rsidRDefault="00F273C8">
            <w:pPr>
              <w:rPr>
                <w:rFonts w:ascii="Arial" w:hAnsi="Arial"/>
                <w:b/>
                <w:u w:val="single"/>
              </w:rPr>
            </w:pPr>
          </w:p>
          <w:p w14:paraId="139D63F2" w14:textId="77777777" w:rsidR="00F273C8" w:rsidRDefault="00F273C8">
            <w:pPr>
              <w:rPr>
                <w:rFonts w:ascii="Arial" w:hAnsi="Arial"/>
                <w:b/>
                <w:u w:val="single"/>
              </w:rPr>
            </w:pPr>
          </w:p>
          <w:p w14:paraId="2A6EAE94" w14:textId="77777777" w:rsidR="00F24052" w:rsidRDefault="00F24052">
            <w:pPr>
              <w:rPr>
                <w:rFonts w:ascii="Arial" w:hAnsi="Arial"/>
                <w:b/>
                <w:u w:val="single"/>
              </w:rPr>
            </w:pPr>
          </w:p>
          <w:p w14:paraId="732C2DDE" w14:textId="77777777" w:rsidR="00F24052" w:rsidRDefault="00F24052">
            <w:pPr>
              <w:rPr>
                <w:rFonts w:ascii="Arial" w:hAnsi="Arial"/>
                <w:b/>
                <w:u w:val="single"/>
              </w:rPr>
            </w:pPr>
          </w:p>
          <w:p w14:paraId="00E89025" w14:textId="77777777" w:rsidR="00F24052" w:rsidRDefault="00F24052">
            <w:pPr>
              <w:rPr>
                <w:rFonts w:ascii="Arial" w:hAnsi="Arial"/>
                <w:b/>
                <w:u w:val="single"/>
              </w:rPr>
            </w:pPr>
          </w:p>
          <w:p w14:paraId="74EE7D88" w14:textId="77777777" w:rsidR="00F24052" w:rsidRDefault="00F24052">
            <w:pPr>
              <w:rPr>
                <w:rFonts w:ascii="Arial" w:hAnsi="Arial"/>
                <w:b/>
                <w:u w:val="single"/>
              </w:rPr>
            </w:pPr>
          </w:p>
          <w:p w14:paraId="7C52BD0B" w14:textId="77777777" w:rsidR="00F24052" w:rsidRDefault="00F24052">
            <w:pPr>
              <w:rPr>
                <w:rFonts w:ascii="Arial" w:hAnsi="Arial"/>
                <w:b/>
                <w:u w:val="single"/>
              </w:rPr>
            </w:pPr>
          </w:p>
          <w:p w14:paraId="117B68CF" w14:textId="76F69A04" w:rsidR="00F273C8" w:rsidRDefault="00F273C8">
            <w:pPr>
              <w:rPr>
                <w:rFonts w:ascii="Arial" w:hAnsi="Arial"/>
                <w:b/>
                <w:u w:val="single"/>
              </w:rPr>
            </w:pPr>
          </w:p>
          <w:p w14:paraId="46C8C2E3" w14:textId="4E71B33B" w:rsidR="000625E9" w:rsidRPr="0085357C" w:rsidRDefault="000625E9">
            <w:pPr>
              <w:rPr>
                <w:rFonts w:ascii="Arial" w:hAnsi="Arial"/>
                <w:b/>
                <w:sz w:val="22"/>
              </w:rPr>
            </w:pPr>
            <w:r>
              <w:rPr>
                <w:rFonts w:ascii="Arial" w:hAnsi="Arial"/>
                <w:b/>
                <w:sz w:val="22"/>
              </w:rPr>
              <w:t>Interaktion konsekvenser</w:t>
            </w:r>
          </w:p>
          <w:p w14:paraId="2D09F197" w14:textId="7185FF60" w:rsidR="000625E9" w:rsidRDefault="000625E9">
            <w:pPr>
              <w:rPr>
                <w:rFonts w:ascii="Arial" w:hAnsi="Arial"/>
                <w:sz w:val="22"/>
              </w:rPr>
            </w:pPr>
            <w:r>
              <w:rPr>
                <w:rFonts w:ascii="Arial" w:hAnsi="Arial"/>
                <w:sz w:val="22"/>
              </w:rPr>
              <w:t xml:space="preserve">Uønskede: </w:t>
            </w:r>
          </w:p>
          <w:p w14:paraId="1EE94E1E" w14:textId="77777777" w:rsidR="000625E9" w:rsidRDefault="000625E9">
            <w:pPr>
              <w:rPr>
                <w:rFonts w:ascii="Arial" w:hAnsi="Arial"/>
                <w:sz w:val="22"/>
              </w:rPr>
            </w:pPr>
          </w:p>
          <w:p w14:paraId="4B4512A1" w14:textId="77777777" w:rsidR="000625E9" w:rsidRDefault="000625E9">
            <w:pPr>
              <w:rPr>
                <w:rFonts w:ascii="Arial" w:hAnsi="Arial"/>
                <w:sz w:val="22"/>
              </w:rPr>
            </w:pPr>
          </w:p>
          <w:p w14:paraId="33E87964" w14:textId="77777777" w:rsidR="000625E9" w:rsidRDefault="000625E9">
            <w:pPr>
              <w:rPr>
                <w:rFonts w:ascii="Arial" w:hAnsi="Arial"/>
                <w:sz w:val="22"/>
              </w:rPr>
            </w:pPr>
          </w:p>
          <w:p w14:paraId="7885BA88" w14:textId="77777777" w:rsidR="000625E9" w:rsidRDefault="000625E9">
            <w:pPr>
              <w:rPr>
                <w:rFonts w:ascii="Arial" w:hAnsi="Arial"/>
                <w:sz w:val="22"/>
              </w:rPr>
            </w:pPr>
          </w:p>
          <w:p w14:paraId="29FA0CAB" w14:textId="77777777" w:rsidR="00EE0680" w:rsidRDefault="00EE0680">
            <w:pPr>
              <w:rPr>
                <w:rFonts w:ascii="Arial" w:hAnsi="Arial"/>
                <w:sz w:val="22"/>
              </w:rPr>
            </w:pPr>
          </w:p>
          <w:p w14:paraId="53C73E6D" w14:textId="77777777" w:rsidR="000625E9" w:rsidRDefault="000625E9">
            <w:pPr>
              <w:rPr>
                <w:rFonts w:ascii="Arial" w:hAnsi="Arial"/>
                <w:sz w:val="22"/>
              </w:rPr>
            </w:pPr>
          </w:p>
          <w:p w14:paraId="3D51DF01" w14:textId="08E4FCE9" w:rsidR="000625E9" w:rsidRDefault="000625E9">
            <w:pPr>
              <w:rPr>
                <w:rFonts w:ascii="Arial" w:hAnsi="Arial"/>
                <w:sz w:val="22"/>
              </w:rPr>
            </w:pPr>
            <w:r>
              <w:rPr>
                <w:rFonts w:ascii="Arial" w:hAnsi="Arial"/>
                <w:sz w:val="22"/>
              </w:rPr>
              <w:t xml:space="preserve">Ønskede: </w:t>
            </w:r>
          </w:p>
          <w:p w14:paraId="77668B98" w14:textId="77777777" w:rsidR="000625E9" w:rsidRDefault="000625E9">
            <w:pPr>
              <w:rPr>
                <w:rFonts w:ascii="Arial" w:hAnsi="Arial"/>
                <w:sz w:val="22"/>
              </w:rPr>
            </w:pPr>
          </w:p>
          <w:p w14:paraId="666EF7C4" w14:textId="77777777" w:rsidR="00041D10" w:rsidRDefault="00041D10">
            <w:pPr>
              <w:rPr>
                <w:rFonts w:ascii="Arial" w:hAnsi="Arial"/>
                <w:sz w:val="22"/>
              </w:rPr>
            </w:pPr>
          </w:p>
          <w:p w14:paraId="30A177A2" w14:textId="77777777" w:rsidR="000625E9" w:rsidRDefault="000625E9">
            <w:pPr>
              <w:rPr>
                <w:rFonts w:ascii="Arial" w:hAnsi="Arial"/>
                <w:sz w:val="22"/>
              </w:rPr>
            </w:pPr>
          </w:p>
          <w:p w14:paraId="3D774BF5" w14:textId="77777777" w:rsidR="000625E9" w:rsidRDefault="000625E9">
            <w:pPr>
              <w:rPr>
                <w:rFonts w:ascii="Arial" w:hAnsi="Arial"/>
                <w:sz w:val="22"/>
              </w:rPr>
            </w:pPr>
          </w:p>
          <w:p w14:paraId="168AF5E9" w14:textId="77777777" w:rsidR="003C5BCB" w:rsidRDefault="003C5BCB">
            <w:pPr>
              <w:rPr>
                <w:rFonts w:ascii="Arial" w:hAnsi="Arial"/>
                <w:sz w:val="22"/>
              </w:rPr>
            </w:pPr>
          </w:p>
          <w:p w14:paraId="7BD82905" w14:textId="77777777" w:rsidR="000625E9" w:rsidRDefault="000625E9">
            <w:pPr>
              <w:rPr>
                <w:rFonts w:ascii="Arial" w:hAnsi="Arial"/>
                <w:b/>
                <w:sz w:val="22"/>
              </w:rPr>
            </w:pPr>
            <w:r>
              <w:rPr>
                <w:rFonts w:ascii="Arial" w:hAnsi="Arial"/>
                <w:b/>
                <w:sz w:val="22"/>
              </w:rPr>
              <w:t>Polyfarmaci</w:t>
            </w:r>
          </w:p>
          <w:p w14:paraId="3F212D4F" w14:textId="77777777" w:rsidR="0085357C" w:rsidRDefault="0085357C">
            <w:pPr>
              <w:rPr>
                <w:rFonts w:ascii="Arial" w:hAnsi="Arial"/>
                <w:b/>
                <w:sz w:val="22"/>
              </w:rPr>
            </w:pPr>
          </w:p>
          <w:p w14:paraId="76D40F3B" w14:textId="77777777" w:rsidR="0085357C" w:rsidRDefault="0085357C">
            <w:pPr>
              <w:rPr>
                <w:rFonts w:ascii="Arial" w:hAnsi="Arial"/>
                <w:b/>
                <w:sz w:val="22"/>
              </w:rPr>
            </w:pPr>
          </w:p>
          <w:p w14:paraId="2DD36230" w14:textId="77777777" w:rsidR="0085357C" w:rsidRDefault="0085357C">
            <w:pPr>
              <w:rPr>
                <w:rFonts w:ascii="Arial" w:hAnsi="Arial"/>
                <w:b/>
                <w:sz w:val="22"/>
              </w:rPr>
            </w:pPr>
          </w:p>
          <w:p w14:paraId="216A9F0F" w14:textId="77777777" w:rsidR="0085357C" w:rsidRDefault="0085357C">
            <w:pPr>
              <w:rPr>
                <w:rFonts w:ascii="Arial" w:hAnsi="Arial"/>
                <w:b/>
                <w:sz w:val="22"/>
              </w:rPr>
            </w:pPr>
          </w:p>
          <w:p w14:paraId="40593AFA" w14:textId="77777777" w:rsidR="0085357C" w:rsidRDefault="0085357C">
            <w:pPr>
              <w:rPr>
                <w:rFonts w:ascii="Arial" w:hAnsi="Arial"/>
                <w:b/>
                <w:sz w:val="22"/>
              </w:rPr>
            </w:pPr>
          </w:p>
          <w:p w14:paraId="3A385C11" w14:textId="1F30CA73" w:rsidR="0085357C" w:rsidRPr="0085357C" w:rsidRDefault="0085357C">
            <w:pPr>
              <w:rPr>
                <w:rFonts w:ascii="Arial" w:hAnsi="Arial"/>
                <w:b/>
                <w:sz w:val="22"/>
              </w:rPr>
            </w:pPr>
            <w:r>
              <w:rPr>
                <w:rFonts w:ascii="Arial" w:hAnsi="Arial"/>
                <w:b/>
                <w:sz w:val="22"/>
              </w:rPr>
              <w:t>Interaktioner hos ældre</w:t>
            </w:r>
          </w:p>
          <w:p w14:paraId="2EAA9150" w14:textId="77777777" w:rsidR="00835401" w:rsidRDefault="00835401">
            <w:pPr>
              <w:rPr>
                <w:rFonts w:ascii="Arial" w:hAnsi="Arial"/>
                <w:b/>
                <w:sz w:val="22"/>
              </w:rPr>
            </w:pPr>
          </w:p>
          <w:p w14:paraId="60958480" w14:textId="77777777" w:rsidR="00835401" w:rsidRDefault="00835401">
            <w:pPr>
              <w:rPr>
                <w:rFonts w:ascii="Arial" w:hAnsi="Arial"/>
                <w:b/>
                <w:sz w:val="22"/>
              </w:rPr>
            </w:pPr>
          </w:p>
          <w:p w14:paraId="6309058E" w14:textId="77777777" w:rsidR="00835401" w:rsidRDefault="00835401">
            <w:pPr>
              <w:rPr>
                <w:rFonts w:ascii="Arial" w:hAnsi="Arial"/>
                <w:b/>
                <w:sz w:val="22"/>
              </w:rPr>
            </w:pPr>
          </w:p>
          <w:p w14:paraId="6C08AFFA" w14:textId="77777777" w:rsidR="003C5BCB" w:rsidRDefault="003C5BCB">
            <w:pPr>
              <w:rPr>
                <w:rFonts w:ascii="Arial" w:hAnsi="Arial"/>
                <w:b/>
                <w:sz w:val="22"/>
              </w:rPr>
            </w:pPr>
          </w:p>
          <w:p w14:paraId="2453FCD6" w14:textId="77777777" w:rsidR="003C5BCB" w:rsidRDefault="003C5BCB">
            <w:pPr>
              <w:rPr>
                <w:rFonts w:ascii="Arial" w:hAnsi="Arial"/>
                <w:b/>
                <w:sz w:val="22"/>
              </w:rPr>
            </w:pPr>
          </w:p>
          <w:p w14:paraId="6FDDAA3D" w14:textId="77777777" w:rsidR="00835401" w:rsidRDefault="00835401">
            <w:pPr>
              <w:rPr>
                <w:rFonts w:ascii="Arial" w:hAnsi="Arial"/>
                <w:b/>
                <w:sz w:val="22"/>
              </w:rPr>
            </w:pPr>
          </w:p>
          <w:p w14:paraId="66FC0F2F" w14:textId="77777777" w:rsidR="0085357C" w:rsidRDefault="0085357C">
            <w:pPr>
              <w:rPr>
                <w:rFonts w:ascii="Arial" w:hAnsi="Arial"/>
                <w:b/>
                <w:sz w:val="22"/>
              </w:rPr>
            </w:pPr>
          </w:p>
          <w:p w14:paraId="6EDF59DC" w14:textId="77777777" w:rsidR="0085357C" w:rsidRDefault="0085357C">
            <w:pPr>
              <w:rPr>
                <w:rFonts w:ascii="Arial" w:hAnsi="Arial"/>
                <w:b/>
                <w:sz w:val="22"/>
              </w:rPr>
            </w:pPr>
          </w:p>
          <w:p w14:paraId="1C400EC3" w14:textId="77777777" w:rsidR="0076623F" w:rsidRDefault="0076623F">
            <w:pPr>
              <w:rPr>
                <w:rFonts w:ascii="Arial" w:hAnsi="Arial"/>
                <w:b/>
                <w:sz w:val="22"/>
              </w:rPr>
            </w:pPr>
          </w:p>
          <w:p w14:paraId="608317AB" w14:textId="77777777" w:rsidR="0076623F" w:rsidRDefault="0076623F">
            <w:pPr>
              <w:rPr>
                <w:rFonts w:ascii="Arial" w:hAnsi="Arial"/>
                <w:b/>
                <w:sz w:val="22"/>
              </w:rPr>
            </w:pPr>
          </w:p>
          <w:p w14:paraId="0CE78DFE" w14:textId="77777777" w:rsidR="0076623F" w:rsidRDefault="0076623F">
            <w:pPr>
              <w:rPr>
                <w:rFonts w:ascii="Arial" w:hAnsi="Arial"/>
                <w:b/>
                <w:sz w:val="22"/>
              </w:rPr>
            </w:pPr>
          </w:p>
          <w:p w14:paraId="202FEA3E" w14:textId="77777777" w:rsidR="0076623F" w:rsidRDefault="0076623F">
            <w:pPr>
              <w:rPr>
                <w:rFonts w:ascii="Arial" w:hAnsi="Arial"/>
                <w:b/>
                <w:sz w:val="22"/>
              </w:rPr>
            </w:pPr>
          </w:p>
          <w:p w14:paraId="09873A52" w14:textId="77777777" w:rsidR="0085357C" w:rsidRDefault="0085357C">
            <w:pPr>
              <w:rPr>
                <w:rFonts w:ascii="Arial" w:hAnsi="Arial"/>
                <w:b/>
                <w:sz w:val="22"/>
              </w:rPr>
            </w:pPr>
          </w:p>
          <w:p w14:paraId="23D516C2" w14:textId="77777777" w:rsidR="0085357C" w:rsidRDefault="0085357C">
            <w:pPr>
              <w:rPr>
                <w:rFonts w:ascii="Arial" w:hAnsi="Arial"/>
                <w:b/>
                <w:sz w:val="22"/>
              </w:rPr>
            </w:pPr>
          </w:p>
          <w:p w14:paraId="50AEFE2D" w14:textId="77777777" w:rsidR="0076623F" w:rsidRDefault="0076623F">
            <w:pPr>
              <w:rPr>
                <w:rFonts w:ascii="Arial" w:hAnsi="Arial"/>
                <w:b/>
                <w:sz w:val="22"/>
              </w:rPr>
            </w:pPr>
          </w:p>
          <w:p w14:paraId="4720A2DE" w14:textId="77777777" w:rsidR="00835401" w:rsidRDefault="00835401">
            <w:pPr>
              <w:rPr>
                <w:rFonts w:ascii="Arial" w:hAnsi="Arial"/>
                <w:b/>
                <w:sz w:val="22"/>
              </w:rPr>
            </w:pPr>
            <w:r>
              <w:rPr>
                <w:rFonts w:ascii="Arial" w:hAnsi="Arial"/>
                <w:b/>
                <w:sz w:val="22"/>
              </w:rPr>
              <w:t>Typer af interaktionsmekanismer</w:t>
            </w:r>
          </w:p>
          <w:p w14:paraId="1F2F205F" w14:textId="77777777" w:rsidR="00835401" w:rsidRDefault="00835401">
            <w:pPr>
              <w:rPr>
                <w:rFonts w:ascii="Arial" w:hAnsi="Arial"/>
                <w:b/>
                <w:sz w:val="22"/>
              </w:rPr>
            </w:pPr>
          </w:p>
          <w:p w14:paraId="6DF9A916" w14:textId="77777777" w:rsidR="00835401" w:rsidRDefault="00835401">
            <w:pPr>
              <w:rPr>
                <w:rFonts w:ascii="Arial" w:hAnsi="Arial"/>
                <w:sz w:val="22"/>
              </w:rPr>
            </w:pPr>
            <w:r>
              <w:rPr>
                <w:rFonts w:ascii="Arial" w:hAnsi="Arial"/>
                <w:sz w:val="22"/>
              </w:rPr>
              <w:t>Farmakokinetiske:</w:t>
            </w:r>
          </w:p>
          <w:p w14:paraId="1AFBF4F8" w14:textId="77777777" w:rsidR="00835401" w:rsidRDefault="00835401">
            <w:pPr>
              <w:rPr>
                <w:rFonts w:ascii="Arial" w:hAnsi="Arial"/>
                <w:sz w:val="22"/>
              </w:rPr>
            </w:pPr>
          </w:p>
          <w:p w14:paraId="4EF18757" w14:textId="77777777" w:rsidR="00835401" w:rsidRDefault="00835401">
            <w:pPr>
              <w:rPr>
                <w:rFonts w:ascii="Arial" w:hAnsi="Arial"/>
                <w:sz w:val="22"/>
              </w:rPr>
            </w:pPr>
          </w:p>
          <w:p w14:paraId="3DD2AE41" w14:textId="77777777" w:rsidR="00B628E3" w:rsidRDefault="00B628E3">
            <w:pPr>
              <w:rPr>
                <w:rFonts w:ascii="Arial" w:hAnsi="Arial"/>
                <w:sz w:val="22"/>
              </w:rPr>
            </w:pPr>
          </w:p>
          <w:p w14:paraId="5673D625" w14:textId="77777777" w:rsidR="00B628E3" w:rsidRDefault="00B628E3">
            <w:pPr>
              <w:rPr>
                <w:rFonts w:ascii="Arial" w:hAnsi="Arial"/>
                <w:sz w:val="22"/>
              </w:rPr>
            </w:pPr>
          </w:p>
          <w:p w14:paraId="34EB1DD0" w14:textId="77777777" w:rsidR="00B628E3" w:rsidRDefault="00B628E3">
            <w:pPr>
              <w:rPr>
                <w:rFonts w:ascii="Arial" w:hAnsi="Arial"/>
                <w:sz w:val="22"/>
              </w:rPr>
            </w:pPr>
          </w:p>
          <w:p w14:paraId="3AE37C45" w14:textId="77777777" w:rsidR="00B628E3" w:rsidRDefault="00B628E3">
            <w:pPr>
              <w:rPr>
                <w:rFonts w:ascii="Arial" w:hAnsi="Arial"/>
                <w:sz w:val="22"/>
              </w:rPr>
            </w:pPr>
          </w:p>
          <w:p w14:paraId="44233663" w14:textId="77777777" w:rsidR="00B628E3" w:rsidRDefault="00B628E3">
            <w:pPr>
              <w:rPr>
                <w:rFonts w:ascii="Arial" w:hAnsi="Arial"/>
                <w:sz w:val="22"/>
              </w:rPr>
            </w:pPr>
          </w:p>
          <w:p w14:paraId="15EA4D35" w14:textId="77777777" w:rsidR="00B628E3" w:rsidRDefault="00B628E3">
            <w:pPr>
              <w:rPr>
                <w:rFonts w:ascii="Arial" w:hAnsi="Arial"/>
                <w:sz w:val="22"/>
              </w:rPr>
            </w:pPr>
          </w:p>
          <w:p w14:paraId="58A0AA8B" w14:textId="77777777" w:rsidR="00B628E3" w:rsidRDefault="00B628E3">
            <w:pPr>
              <w:rPr>
                <w:rFonts w:ascii="Arial" w:hAnsi="Arial"/>
                <w:sz w:val="22"/>
              </w:rPr>
            </w:pPr>
          </w:p>
          <w:p w14:paraId="26BB6A7E" w14:textId="77777777" w:rsidR="00B628E3" w:rsidRDefault="00B628E3">
            <w:pPr>
              <w:rPr>
                <w:rFonts w:ascii="Arial" w:hAnsi="Arial"/>
                <w:sz w:val="22"/>
              </w:rPr>
            </w:pPr>
          </w:p>
          <w:p w14:paraId="7EF12EFF" w14:textId="77777777" w:rsidR="00B628E3" w:rsidRDefault="00B628E3">
            <w:pPr>
              <w:rPr>
                <w:rFonts w:ascii="Arial" w:hAnsi="Arial"/>
                <w:sz w:val="22"/>
              </w:rPr>
            </w:pPr>
          </w:p>
          <w:p w14:paraId="05A4FAEE" w14:textId="77777777" w:rsidR="00B628E3" w:rsidRDefault="00B628E3">
            <w:pPr>
              <w:rPr>
                <w:rFonts w:ascii="Arial" w:hAnsi="Arial"/>
                <w:sz w:val="22"/>
              </w:rPr>
            </w:pPr>
          </w:p>
          <w:p w14:paraId="253B2D8A" w14:textId="77777777" w:rsidR="00B628E3" w:rsidRDefault="00B628E3">
            <w:pPr>
              <w:rPr>
                <w:rFonts w:ascii="Arial" w:hAnsi="Arial"/>
                <w:sz w:val="22"/>
              </w:rPr>
            </w:pPr>
          </w:p>
          <w:p w14:paraId="6A4EDFFF" w14:textId="77777777" w:rsidR="00B628E3" w:rsidRDefault="00B628E3">
            <w:pPr>
              <w:rPr>
                <w:rFonts w:ascii="Arial" w:hAnsi="Arial"/>
                <w:sz w:val="22"/>
              </w:rPr>
            </w:pPr>
          </w:p>
          <w:p w14:paraId="6EF423CF" w14:textId="77777777" w:rsidR="00B628E3" w:rsidRDefault="00B628E3">
            <w:pPr>
              <w:rPr>
                <w:rFonts w:ascii="Arial" w:hAnsi="Arial"/>
                <w:sz w:val="22"/>
              </w:rPr>
            </w:pPr>
          </w:p>
          <w:p w14:paraId="270EA4CD" w14:textId="77777777" w:rsidR="00B628E3" w:rsidRDefault="00B628E3">
            <w:pPr>
              <w:rPr>
                <w:rFonts w:ascii="Arial" w:hAnsi="Arial"/>
                <w:sz w:val="22"/>
              </w:rPr>
            </w:pPr>
          </w:p>
          <w:p w14:paraId="77D515D3" w14:textId="77777777" w:rsidR="00B628E3" w:rsidRDefault="00B628E3">
            <w:pPr>
              <w:rPr>
                <w:rFonts w:ascii="Arial" w:hAnsi="Arial"/>
                <w:sz w:val="22"/>
              </w:rPr>
            </w:pPr>
          </w:p>
          <w:p w14:paraId="44B33930" w14:textId="77777777" w:rsidR="00B628E3" w:rsidRDefault="00B628E3">
            <w:pPr>
              <w:rPr>
                <w:rFonts w:ascii="Arial" w:hAnsi="Arial"/>
                <w:sz w:val="22"/>
              </w:rPr>
            </w:pPr>
          </w:p>
          <w:p w14:paraId="2AA5B1E4" w14:textId="77777777" w:rsidR="00B628E3" w:rsidRDefault="00B628E3">
            <w:pPr>
              <w:rPr>
                <w:rFonts w:ascii="Arial" w:hAnsi="Arial"/>
                <w:sz w:val="22"/>
              </w:rPr>
            </w:pPr>
          </w:p>
          <w:p w14:paraId="31A64E4C" w14:textId="77777777" w:rsidR="00B628E3" w:rsidRDefault="00B628E3">
            <w:pPr>
              <w:rPr>
                <w:rFonts w:ascii="Arial" w:hAnsi="Arial"/>
                <w:sz w:val="22"/>
              </w:rPr>
            </w:pPr>
          </w:p>
          <w:p w14:paraId="5416849D" w14:textId="77777777" w:rsidR="00B628E3" w:rsidRDefault="00B628E3">
            <w:pPr>
              <w:rPr>
                <w:rFonts w:ascii="Arial" w:hAnsi="Arial"/>
                <w:sz w:val="22"/>
              </w:rPr>
            </w:pPr>
          </w:p>
          <w:p w14:paraId="7EEA4E0D" w14:textId="77777777" w:rsidR="00B628E3" w:rsidRDefault="00B628E3">
            <w:pPr>
              <w:rPr>
                <w:rFonts w:ascii="Arial" w:hAnsi="Arial"/>
                <w:sz w:val="22"/>
              </w:rPr>
            </w:pPr>
          </w:p>
          <w:p w14:paraId="7DC152D0" w14:textId="77777777" w:rsidR="00B628E3" w:rsidRDefault="00B628E3">
            <w:pPr>
              <w:rPr>
                <w:rFonts w:ascii="Arial" w:hAnsi="Arial"/>
                <w:sz w:val="22"/>
              </w:rPr>
            </w:pPr>
          </w:p>
          <w:p w14:paraId="7C92ECC5" w14:textId="77777777" w:rsidR="00B628E3" w:rsidRDefault="00B628E3">
            <w:pPr>
              <w:rPr>
                <w:rFonts w:ascii="Arial" w:hAnsi="Arial"/>
                <w:sz w:val="22"/>
              </w:rPr>
            </w:pPr>
          </w:p>
          <w:p w14:paraId="2B924178" w14:textId="77777777" w:rsidR="00B628E3" w:rsidRDefault="00B628E3">
            <w:pPr>
              <w:rPr>
                <w:rFonts w:ascii="Arial" w:hAnsi="Arial"/>
                <w:sz w:val="22"/>
              </w:rPr>
            </w:pPr>
          </w:p>
          <w:p w14:paraId="24E674D5" w14:textId="77777777" w:rsidR="00B628E3" w:rsidRDefault="00B628E3">
            <w:pPr>
              <w:rPr>
                <w:rFonts w:ascii="Arial" w:hAnsi="Arial"/>
                <w:sz w:val="22"/>
              </w:rPr>
            </w:pPr>
          </w:p>
          <w:p w14:paraId="381CD9DC" w14:textId="77777777" w:rsidR="00B628E3" w:rsidRDefault="00B628E3">
            <w:pPr>
              <w:rPr>
                <w:rFonts w:ascii="Arial" w:hAnsi="Arial"/>
                <w:sz w:val="22"/>
              </w:rPr>
            </w:pPr>
          </w:p>
          <w:p w14:paraId="45DE9587" w14:textId="77777777" w:rsidR="00B628E3" w:rsidRDefault="00B628E3">
            <w:pPr>
              <w:rPr>
                <w:rFonts w:ascii="Arial" w:hAnsi="Arial"/>
                <w:sz w:val="22"/>
              </w:rPr>
            </w:pPr>
          </w:p>
          <w:p w14:paraId="071B3643" w14:textId="77777777" w:rsidR="00B628E3" w:rsidRDefault="00B628E3">
            <w:pPr>
              <w:rPr>
                <w:rFonts w:ascii="Arial" w:hAnsi="Arial"/>
                <w:sz w:val="22"/>
              </w:rPr>
            </w:pPr>
          </w:p>
          <w:p w14:paraId="39FD5021" w14:textId="77777777" w:rsidR="00B628E3" w:rsidRDefault="00B628E3">
            <w:pPr>
              <w:rPr>
                <w:rFonts w:ascii="Arial" w:hAnsi="Arial"/>
                <w:sz w:val="22"/>
              </w:rPr>
            </w:pPr>
          </w:p>
          <w:p w14:paraId="45F7C6C6" w14:textId="77777777" w:rsidR="00B628E3" w:rsidRDefault="00B628E3">
            <w:pPr>
              <w:rPr>
                <w:rFonts w:ascii="Arial" w:hAnsi="Arial"/>
                <w:sz w:val="22"/>
              </w:rPr>
            </w:pPr>
          </w:p>
          <w:p w14:paraId="4D916A07" w14:textId="77777777" w:rsidR="00B628E3" w:rsidRDefault="00B628E3">
            <w:pPr>
              <w:rPr>
                <w:rFonts w:ascii="Arial" w:hAnsi="Arial"/>
                <w:sz w:val="22"/>
              </w:rPr>
            </w:pPr>
          </w:p>
          <w:p w14:paraId="5E9D6F0D" w14:textId="77777777" w:rsidR="00B628E3" w:rsidRDefault="00B628E3">
            <w:pPr>
              <w:rPr>
                <w:rFonts w:ascii="Arial" w:hAnsi="Arial"/>
                <w:sz w:val="22"/>
              </w:rPr>
            </w:pPr>
          </w:p>
          <w:p w14:paraId="58BA1DC3" w14:textId="77777777" w:rsidR="00B628E3" w:rsidRDefault="00B628E3">
            <w:pPr>
              <w:rPr>
                <w:rFonts w:ascii="Arial" w:hAnsi="Arial"/>
                <w:sz w:val="22"/>
              </w:rPr>
            </w:pPr>
          </w:p>
          <w:p w14:paraId="7714AC16" w14:textId="77777777" w:rsidR="00B628E3" w:rsidRDefault="00B628E3">
            <w:pPr>
              <w:rPr>
                <w:rFonts w:ascii="Arial" w:hAnsi="Arial"/>
                <w:sz w:val="22"/>
              </w:rPr>
            </w:pPr>
          </w:p>
          <w:p w14:paraId="6F1AB78F" w14:textId="77777777" w:rsidR="00B628E3" w:rsidRDefault="00B628E3">
            <w:pPr>
              <w:rPr>
                <w:rFonts w:ascii="Arial" w:hAnsi="Arial"/>
                <w:sz w:val="22"/>
              </w:rPr>
            </w:pPr>
          </w:p>
          <w:p w14:paraId="7F180D40" w14:textId="77777777" w:rsidR="00B628E3" w:rsidRDefault="00B628E3">
            <w:pPr>
              <w:rPr>
                <w:rFonts w:ascii="Arial" w:hAnsi="Arial"/>
                <w:sz w:val="22"/>
              </w:rPr>
            </w:pPr>
          </w:p>
          <w:p w14:paraId="58C13F5E" w14:textId="77777777" w:rsidR="00B628E3" w:rsidRDefault="00B628E3">
            <w:pPr>
              <w:rPr>
                <w:rFonts w:ascii="Arial" w:hAnsi="Arial"/>
                <w:sz w:val="22"/>
              </w:rPr>
            </w:pPr>
          </w:p>
          <w:p w14:paraId="4CEC7C65" w14:textId="77777777" w:rsidR="00666170" w:rsidRDefault="00666170">
            <w:pPr>
              <w:rPr>
                <w:rFonts w:ascii="Arial" w:hAnsi="Arial"/>
                <w:sz w:val="22"/>
              </w:rPr>
            </w:pPr>
          </w:p>
          <w:p w14:paraId="276D0A8E" w14:textId="77777777" w:rsidR="00666170" w:rsidRDefault="00666170">
            <w:pPr>
              <w:rPr>
                <w:rFonts w:ascii="Arial" w:hAnsi="Arial"/>
                <w:sz w:val="22"/>
              </w:rPr>
            </w:pPr>
          </w:p>
          <w:p w14:paraId="1D3AB797" w14:textId="77777777" w:rsidR="00666170" w:rsidRDefault="00666170">
            <w:pPr>
              <w:rPr>
                <w:rFonts w:ascii="Arial" w:hAnsi="Arial"/>
                <w:sz w:val="22"/>
              </w:rPr>
            </w:pPr>
          </w:p>
          <w:p w14:paraId="70A1D2B3" w14:textId="77777777" w:rsidR="00666170" w:rsidRDefault="00666170">
            <w:pPr>
              <w:rPr>
                <w:rFonts w:ascii="Arial" w:hAnsi="Arial"/>
                <w:sz w:val="22"/>
              </w:rPr>
            </w:pPr>
          </w:p>
          <w:p w14:paraId="0FA01A56" w14:textId="77777777" w:rsidR="0085357C" w:rsidRDefault="0085357C">
            <w:pPr>
              <w:rPr>
                <w:rFonts w:ascii="Arial" w:hAnsi="Arial"/>
                <w:sz w:val="22"/>
              </w:rPr>
            </w:pPr>
          </w:p>
          <w:p w14:paraId="0C1EFC35" w14:textId="77777777" w:rsidR="0085357C" w:rsidRDefault="0085357C">
            <w:pPr>
              <w:rPr>
                <w:rFonts w:ascii="Arial" w:hAnsi="Arial"/>
                <w:sz w:val="22"/>
              </w:rPr>
            </w:pPr>
          </w:p>
          <w:p w14:paraId="0B1D1BBC" w14:textId="77777777" w:rsidR="00666170" w:rsidRDefault="00666170">
            <w:pPr>
              <w:rPr>
                <w:rFonts w:ascii="Arial" w:hAnsi="Arial"/>
                <w:sz w:val="22"/>
              </w:rPr>
            </w:pPr>
          </w:p>
          <w:p w14:paraId="34A78214" w14:textId="77777777" w:rsidR="0059266E" w:rsidRDefault="0059266E">
            <w:pPr>
              <w:rPr>
                <w:rFonts w:ascii="Arial" w:hAnsi="Arial"/>
                <w:sz w:val="22"/>
              </w:rPr>
            </w:pPr>
          </w:p>
          <w:p w14:paraId="193613A2" w14:textId="77777777" w:rsidR="0059266E" w:rsidRDefault="0059266E">
            <w:pPr>
              <w:rPr>
                <w:rFonts w:ascii="Arial" w:hAnsi="Arial"/>
                <w:sz w:val="22"/>
              </w:rPr>
            </w:pPr>
          </w:p>
          <w:p w14:paraId="08A8E161" w14:textId="77777777" w:rsidR="00B628E3" w:rsidRDefault="00B628E3">
            <w:pPr>
              <w:rPr>
                <w:rFonts w:ascii="Arial" w:hAnsi="Arial"/>
                <w:sz w:val="22"/>
              </w:rPr>
            </w:pPr>
          </w:p>
          <w:p w14:paraId="08F066D4" w14:textId="77777777" w:rsidR="00835401" w:rsidRDefault="00835401">
            <w:pPr>
              <w:rPr>
                <w:rFonts w:ascii="Arial" w:hAnsi="Arial"/>
                <w:sz w:val="22"/>
              </w:rPr>
            </w:pPr>
            <w:r>
              <w:rPr>
                <w:rFonts w:ascii="Arial" w:hAnsi="Arial"/>
                <w:sz w:val="22"/>
              </w:rPr>
              <w:t xml:space="preserve">Farmakodynamiske: </w:t>
            </w:r>
          </w:p>
          <w:p w14:paraId="09A592B5" w14:textId="77777777" w:rsidR="006D1587" w:rsidRDefault="006D1587">
            <w:pPr>
              <w:rPr>
                <w:rFonts w:ascii="Arial" w:hAnsi="Arial"/>
                <w:sz w:val="22"/>
              </w:rPr>
            </w:pPr>
          </w:p>
          <w:p w14:paraId="2FF9EC5E" w14:textId="77777777" w:rsidR="006D1587" w:rsidRDefault="006D1587">
            <w:pPr>
              <w:rPr>
                <w:rFonts w:ascii="Arial" w:hAnsi="Arial"/>
                <w:sz w:val="22"/>
              </w:rPr>
            </w:pPr>
          </w:p>
          <w:p w14:paraId="21ED97FC" w14:textId="77777777" w:rsidR="006D1587" w:rsidRDefault="006D1587">
            <w:pPr>
              <w:rPr>
                <w:rFonts w:ascii="Arial" w:hAnsi="Arial"/>
                <w:sz w:val="22"/>
              </w:rPr>
            </w:pPr>
          </w:p>
          <w:p w14:paraId="32EC5D1D" w14:textId="77777777" w:rsidR="006D1587" w:rsidRDefault="006D1587">
            <w:pPr>
              <w:rPr>
                <w:rFonts w:ascii="Arial" w:hAnsi="Arial"/>
                <w:sz w:val="22"/>
              </w:rPr>
            </w:pPr>
          </w:p>
          <w:p w14:paraId="30BCEEB6" w14:textId="77777777" w:rsidR="006D1587" w:rsidRDefault="006D1587">
            <w:pPr>
              <w:rPr>
                <w:rFonts w:ascii="Arial" w:hAnsi="Arial"/>
                <w:sz w:val="22"/>
              </w:rPr>
            </w:pPr>
          </w:p>
          <w:p w14:paraId="5B1E9967" w14:textId="77777777" w:rsidR="006D1587" w:rsidRDefault="006D1587">
            <w:pPr>
              <w:rPr>
                <w:rFonts w:ascii="Arial" w:hAnsi="Arial"/>
                <w:sz w:val="22"/>
              </w:rPr>
            </w:pPr>
          </w:p>
          <w:p w14:paraId="52B87A42" w14:textId="77777777" w:rsidR="006D1587" w:rsidRDefault="006D1587">
            <w:pPr>
              <w:rPr>
                <w:rFonts w:ascii="Arial" w:hAnsi="Arial"/>
                <w:sz w:val="22"/>
              </w:rPr>
            </w:pPr>
          </w:p>
          <w:p w14:paraId="550F7CF8" w14:textId="77777777" w:rsidR="007D44AE" w:rsidRDefault="007D44AE">
            <w:pPr>
              <w:rPr>
                <w:rFonts w:ascii="Arial" w:hAnsi="Arial"/>
                <w:sz w:val="22"/>
              </w:rPr>
            </w:pPr>
          </w:p>
          <w:p w14:paraId="4E3A1D1F" w14:textId="77777777" w:rsidR="007D44AE" w:rsidRDefault="007D44AE">
            <w:pPr>
              <w:rPr>
                <w:rFonts w:ascii="Arial" w:hAnsi="Arial"/>
                <w:sz w:val="22"/>
              </w:rPr>
            </w:pPr>
          </w:p>
          <w:p w14:paraId="267BFEBD" w14:textId="77777777" w:rsidR="007D44AE" w:rsidRDefault="007D44AE">
            <w:pPr>
              <w:rPr>
                <w:rFonts w:ascii="Arial" w:hAnsi="Arial"/>
                <w:sz w:val="22"/>
              </w:rPr>
            </w:pPr>
          </w:p>
          <w:p w14:paraId="3FEFE3BA" w14:textId="77777777" w:rsidR="006D1587" w:rsidRDefault="006D1587">
            <w:pPr>
              <w:rPr>
                <w:rFonts w:ascii="Arial" w:hAnsi="Arial"/>
                <w:sz w:val="22"/>
              </w:rPr>
            </w:pPr>
          </w:p>
          <w:p w14:paraId="71003234" w14:textId="77777777" w:rsidR="006D1587" w:rsidRDefault="006D1587">
            <w:pPr>
              <w:rPr>
                <w:rFonts w:ascii="Arial" w:hAnsi="Arial"/>
                <w:sz w:val="22"/>
              </w:rPr>
            </w:pPr>
          </w:p>
          <w:p w14:paraId="2F92FAB7" w14:textId="77777777" w:rsidR="006D1587" w:rsidRDefault="006D1587">
            <w:pPr>
              <w:rPr>
                <w:rFonts w:ascii="Arial" w:hAnsi="Arial"/>
                <w:sz w:val="22"/>
              </w:rPr>
            </w:pPr>
          </w:p>
          <w:p w14:paraId="7EB932CF" w14:textId="77777777" w:rsidR="006D1587" w:rsidRDefault="006D1587">
            <w:pPr>
              <w:rPr>
                <w:rFonts w:ascii="Arial" w:hAnsi="Arial"/>
                <w:b/>
                <w:sz w:val="22"/>
              </w:rPr>
            </w:pPr>
            <w:r>
              <w:rPr>
                <w:rFonts w:ascii="Arial" w:hAnsi="Arial"/>
                <w:b/>
                <w:sz w:val="22"/>
              </w:rPr>
              <w:t>Håndtering af lægemiddelinteraktion</w:t>
            </w:r>
          </w:p>
          <w:p w14:paraId="21DF33D3" w14:textId="77777777" w:rsidR="00A32E1E" w:rsidRDefault="00A32E1E">
            <w:pPr>
              <w:rPr>
                <w:rFonts w:ascii="Arial" w:hAnsi="Arial"/>
                <w:b/>
                <w:sz w:val="22"/>
              </w:rPr>
            </w:pPr>
          </w:p>
          <w:p w14:paraId="0AD3EC9D" w14:textId="77777777" w:rsidR="00A32E1E" w:rsidRDefault="00A32E1E">
            <w:pPr>
              <w:rPr>
                <w:rFonts w:ascii="Arial" w:hAnsi="Arial"/>
                <w:b/>
                <w:sz w:val="22"/>
              </w:rPr>
            </w:pPr>
          </w:p>
          <w:p w14:paraId="7F28F708" w14:textId="77777777" w:rsidR="00A32E1E" w:rsidRDefault="00A32E1E">
            <w:pPr>
              <w:rPr>
                <w:rFonts w:ascii="Arial" w:hAnsi="Arial"/>
                <w:b/>
                <w:sz w:val="22"/>
              </w:rPr>
            </w:pPr>
          </w:p>
          <w:p w14:paraId="6199F05B" w14:textId="77777777" w:rsidR="00A32E1E" w:rsidRDefault="00A32E1E">
            <w:pPr>
              <w:rPr>
                <w:rFonts w:ascii="Arial" w:hAnsi="Arial"/>
                <w:b/>
                <w:sz w:val="22"/>
              </w:rPr>
            </w:pPr>
          </w:p>
          <w:p w14:paraId="69A6B609" w14:textId="77777777" w:rsidR="00A32E1E" w:rsidRDefault="00A32E1E">
            <w:pPr>
              <w:rPr>
                <w:rFonts w:ascii="Arial" w:hAnsi="Arial"/>
                <w:b/>
                <w:sz w:val="22"/>
              </w:rPr>
            </w:pPr>
          </w:p>
          <w:p w14:paraId="3BA27573" w14:textId="77777777" w:rsidR="00A32E1E" w:rsidRDefault="00A32E1E">
            <w:pPr>
              <w:rPr>
                <w:rFonts w:ascii="Arial" w:hAnsi="Arial"/>
                <w:b/>
                <w:sz w:val="22"/>
              </w:rPr>
            </w:pPr>
          </w:p>
          <w:p w14:paraId="6280921E" w14:textId="77777777" w:rsidR="00A32E1E" w:rsidRDefault="00A32E1E">
            <w:pPr>
              <w:rPr>
                <w:rFonts w:ascii="Arial" w:hAnsi="Arial"/>
                <w:b/>
                <w:sz w:val="22"/>
              </w:rPr>
            </w:pPr>
          </w:p>
          <w:p w14:paraId="797284D4" w14:textId="77777777" w:rsidR="00A32E1E" w:rsidRDefault="00A32E1E">
            <w:pPr>
              <w:rPr>
                <w:rFonts w:ascii="Arial" w:hAnsi="Arial"/>
                <w:b/>
                <w:sz w:val="22"/>
              </w:rPr>
            </w:pPr>
          </w:p>
          <w:p w14:paraId="395EA37D" w14:textId="77777777" w:rsidR="00A32E1E" w:rsidRDefault="00A32E1E">
            <w:pPr>
              <w:rPr>
                <w:rFonts w:ascii="Arial" w:hAnsi="Arial"/>
                <w:b/>
                <w:sz w:val="22"/>
              </w:rPr>
            </w:pPr>
          </w:p>
          <w:p w14:paraId="7EB2D097" w14:textId="77777777" w:rsidR="00A32E1E" w:rsidRDefault="00A32E1E">
            <w:pPr>
              <w:rPr>
                <w:rFonts w:ascii="Arial" w:hAnsi="Arial"/>
                <w:b/>
                <w:sz w:val="22"/>
              </w:rPr>
            </w:pPr>
          </w:p>
          <w:p w14:paraId="70B628C8" w14:textId="77777777" w:rsidR="00A32E1E" w:rsidRDefault="00A32E1E">
            <w:pPr>
              <w:rPr>
                <w:rFonts w:ascii="Arial" w:hAnsi="Arial"/>
                <w:b/>
                <w:sz w:val="22"/>
              </w:rPr>
            </w:pPr>
          </w:p>
          <w:p w14:paraId="1747649D" w14:textId="77777777" w:rsidR="00A32E1E" w:rsidRDefault="00A32E1E">
            <w:pPr>
              <w:rPr>
                <w:rFonts w:ascii="Arial" w:hAnsi="Arial"/>
                <w:b/>
                <w:sz w:val="22"/>
              </w:rPr>
            </w:pPr>
          </w:p>
          <w:p w14:paraId="28EB9A80" w14:textId="77777777" w:rsidR="00A32E1E" w:rsidRDefault="00A32E1E">
            <w:pPr>
              <w:rPr>
                <w:rFonts w:ascii="Arial" w:hAnsi="Arial"/>
                <w:b/>
                <w:sz w:val="22"/>
              </w:rPr>
            </w:pPr>
          </w:p>
          <w:p w14:paraId="7192F491" w14:textId="77777777" w:rsidR="00A32E1E" w:rsidRDefault="00A32E1E">
            <w:pPr>
              <w:rPr>
                <w:rFonts w:ascii="Arial" w:hAnsi="Arial"/>
                <w:b/>
                <w:sz w:val="22"/>
              </w:rPr>
            </w:pPr>
          </w:p>
          <w:p w14:paraId="61B9E26B" w14:textId="77777777" w:rsidR="00A32E1E" w:rsidRDefault="00A32E1E">
            <w:pPr>
              <w:rPr>
                <w:rFonts w:ascii="Arial" w:hAnsi="Arial"/>
                <w:b/>
                <w:sz w:val="22"/>
              </w:rPr>
            </w:pPr>
            <w:r>
              <w:rPr>
                <w:rFonts w:ascii="Arial" w:hAnsi="Arial"/>
                <w:b/>
                <w:sz w:val="22"/>
              </w:rPr>
              <w:t>Risikopatienter</w:t>
            </w:r>
          </w:p>
          <w:p w14:paraId="33301E94" w14:textId="77777777" w:rsidR="006B18FD" w:rsidRDefault="006B18FD">
            <w:pPr>
              <w:rPr>
                <w:rFonts w:ascii="Arial" w:hAnsi="Arial"/>
                <w:b/>
                <w:sz w:val="22"/>
              </w:rPr>
            </w:pPr>
          </w:p>
          <w:p w14:paraId="5811E955" w14:textId="77777777" w:rsidR="006B18FD" w:rsidRDefault="006B18FD">
            <w:pPr>
              <w:rPr>
                <w:rFonts w:ascii="Arial" w:hAnsi="Arial"/>
                <w:b/>
                <w:sz w:val="22"/>
              </w:rPr>
            </w:pPr>
          </w:p>
          <w:p w14:paraId="4CA0B348" w14:textId="77777777" w:rsidR="006B18FD" w:rsidRDefault="006B18FD">
            <w:pPr>
              <w:rPr>
                <w:rFonts w:ascii="Arial" w:hAnsi="Arial"/>
                <w:b/>
                <w:sz w:val="22"/>
              </w:rPr>
            </w:pPr>
          </w:p>
          <w:p w14:paraId="42314C5A" w14:textId="77777777" w:rsidR="006B18FD" w:rsidRDefault="006B18FD">
            <w:pPr>
              <w:rPr>
                <w:rFonts w:ascii="Arial" w:hAnsi="Arial"/>
                <w:b/>
                <w:sz w:val="22"/>
              </w:rPr>
            </w:pPr>
          </w:p>
          <w:p w14:paraId="784AF6CD" w14:textId="77777777" w:rsidR="006B18FD" w:rsidRDefault="006B18FD">
            <w:pPr>
              <w:rPr>
                <w:rFonts w:ascii="Arial" w:hAnsi="Arial"/>
                <w:b/>
                <w:sz w:val="22"/>
              </w:rPr>
            </w:pPr>
          </w:p>
          <w:p w14:paraId="2AEEF253" w14:textId="4C0ABBC7" w:rsidR="006B18FD" w:rsidRPr="006B18FD" w:rsidRDefault="006B18FD">
            <w:pPr>
              <w:rPr>
                <w:rFonts w:ascii="Arial" w:hAnsi="Arial"/>
                <w:b/>
                <w:sz w:val="22"/>
              </w:rPr>
            </w:pPr>
            <w:r>
              <w:rPr>
                <w:rFonts w:ascii="Arial" w:hAnsi="Arial"/>
                <w:b/>
                <w:sz w:val="22"/>
              </w:rPr>
              <w:t>Interaktionsoversigter</w:t>
            </w:r>
          </w:p>
        </w:tc>
        <w:tc>
          <w:tcPr>
            <w:tcW w:w="4639" w:type="dxa"/>
          </w:tcPr>
          <w:p w14:paraId="060EF35C" w14:textId="77777777" w:rsidR="003234B7" w:rsidRDefault="003234B7">
            <w:pPr>
              <w:rPr>
                <w:rFonts w:ascii="Arial" w:hAnsi="Arial"/>
                <w:sz w:val="22"/>
              </w:rPr>
            </w:pPr>
          </w:p>
          <w:p w14:paraId="069AD4FC" w14:textId="77777777" w:rsidR="003234B7" w:rsidRDefault="003234B7">
            <w:pPr>
              <w:rPr>
                <w:rFonts w:ascii="Arial" w:hAnsi="Arial"/>
                <w:sz w:val="22"/>
              </w:rPr>
            </w:pPr>
          </w:p>
          <w:p w14:paraId="7CE982BD" w14:textId="77777777" w:rsidR="003234B7" w:rsidRDefault="003234B7">
            <w:pPr>
              <w:rPr>
                <w:rFonts w:ascii="Arial" w:hAnsi="Arial"/>
                <w:sz w:val="22"/>
              </w:rPr>
            </w:pPr>
          </w:p>
          <w:p w14:paraId="50AD131C" w14:textId="77777777" w:rsidR="003234B7" w:rsidRDefault="003234B7">
            <w:pPr>
              <w:rPr>
                <w:rFonts w:ascii="Arial" w:hAnsi="Arial"/>
                <w:sz w:val="22"/>
              </w:rPr>
            </w:pPr>
            <w:r>
              <w:rPr>
                <w:rFonts w:ascii="Arial" w:hAnsi="Arial"/>
                <w:sz w:val="22"/>
              </w:rPr>
              <w:t>Et lægemiddels indvirkning på organismen (farmakodynamik) eller organismen indvirkning på et lægemiddel (farmakokinetik) påvirkes af en samtidig, forudgående eller efterfølgende indtagelse af et andet lægemiddel.</w:t>
            </w:r>
          </w:p>
          <w:p w14:paraId="44396887" w14:textId="77777777" w:rsidR="003234B7" w:rsidRDefault="003234B7">
            <w:pPr>
              <w:rPr>
                <w:rFonts w:ascii="Arial" w:hAnsi="Arial"/>
                <w:sz w:val="22"/>
              </w:rPr>
            </w:pPr>
          </w:p>
          <w:p w14:paraId="68EDF486" w14:textId="73C401DB" w:rsidR="00F273C8" w:rsidRPr="00F273C8" w:rsidRDefault="003234B7" w:rsidP="00F273C8">
            <w:pPr>
              <w:rPr>
                <w:rFonts w:ascii="Arial" w:hAnsi="Arial"/>
                <w:sz w:val="22"/>
              </w:rPr>
            </w:pPr>
            <w:r>
              <w:rPr>
                <w:rFonts w:ascii="Arial" w:hAnsi="Arial"/>
                <w:sz w:val="22"/>
              </w:rPr>
              <w:t>En interaktion både farmakodynamiske og farmakokinetisk kan også opstå ved samtidig indtag af føde eller alkohol samt ved tobaksrygning (miljømæssige påvirkninger).</w:t>
            </w:r>
          </w:p>
          <w:p w14:paraId="0BCA9C56" w14:textId="77777777" w:rsidR="00F273C8" w:rsidRDefault="00F273C8" w:rsidP="00F273C8">
            <w:pPr>
              <w:ind w:left="720"/>
              <w:rPr>
                <w:rFonts w:ascii="Arial" w:hAnsi="Arial" w:cs="Arial"/>
                <w:sz w:val="22"/>
                <w:szCs w:val="22"/>
              </w:rPr>
            </w:pPr>
          </w:p>
          <w:p w14:paraId="7E50F7F9" w14:textId="77777777" w:rsidR="00F273C8" w:rsidRDefault="00F273C8" w:rsidP="00F273C8">
            <w:pPr>
              <w:numPr>
                <w:ilvl w:val="0"/>
                <w:numId w:val="6"/>
              </w:numPr>
              <w:rPr>
                <w:rFonts w:ascii="Arial" w:hAnsi="Arial" w:cs="Arial"/>
                <w:sz w:val="22"/>
                <w:szCs w:val="22"/>
              </w:rPr>
            </w:pPr>
            <w:r>
              <w:rPr>
                <w:rFonts w:ascii="Arial" w:hAnsi="Arial" w:cs="Arial"/>
                <w:sz w:val="22"/>
                <w:szCs w:val="22"/>
              </w:rPr>
              <w:t>Antagonisme (effekten reduceres)</w:t>
            </w:r>
          </w:p>
          <w:p w14:paraId="03460AC4" w14:textId="77777777" w:rsidR="00F273C8" w:rsidRDefault="00F273C8" w:rsidP="00F273C8">
            <w:pPr>
              <w:numPr>
                <w:ilvl w:val="0"/>
                <w:numId w:val="6"/>
              </w:numPr>
              <w:rPr>
                <w:rFonts w:ascii="Arial" w:hAnsi="Arial" w:cs="Arial"/>
                <w:sz w:val="22"/>
                <w:szCs w:val="22"/>
              </w:rPr>
            </w:pPr>
            <w:r>
              <w:rPr>
                <w:rFonts w:ascii="Arial" w:hAnsi="Arial" w:cs="Arial"/>
                <w:sz w:val="22"/>
                <w:szCs w:val="22"/>
              </w:rPr>
              <w:t>Potenserende (effekten øges)</w:t>
            </w:r>
          </w:p>
          <w:p w14:paraId="3117A5B2" w14:textId="6BAEC2A9" w:rsidR="00F273C8" w:rsidRDefault="00F273C8" w:rsidP="00F273C8">
            <w:pPr>
              <w:numPr>
                <w:ilvl w:val="0"/>
                <w:numId w:val="6"/>
              </w:numPr>
              <w:rPr>
                <w:rFonts w:ascii="Arial" w:hAnsi="Arial" w:cs="Arial"/>
                <w:sz w:val="22"/>
                <w:szCs w:val="22"/>
              </w:rPr>
            </w:pPr>
            <w:r>
              <w:rPr>
                <w:rFonts w:ascii="Arial" w:hAnsi="Arial" w:cs="Arial"/>
                <w:sz w:val="22"/>
                <w:szCs w:val="22"/>
              </w:rPr>
              <w:t>Additivt (lægemidlerne har relaterede effekter</w:t>
            </w:r>
            <w:r w:rsidR="00F24052">
              <w:rPr>
                <w:rFonts w:ascii="Arial" w:hAnsi="Arial" w:cs="Arial"/>
                <w:sz w:val="22"/>
                <w:szCs w:val="22"/>
              </w:rPr>
              <w:t xml:space="preserve"> – når en del af et lægemiddels dosis kan erstattes med en del af et andet lægemiddels dosis og de opnår samme effekt som hvis man kun anvendte et af lægemidlerne</w:t>
            </w:r>
            <w:r>
              <w:rPr>
                <w:rFonts w:ascii="Arial" w:hAnsi="Arial" w:cs="Arial"/>
                <w:sz w:val="22"/>
                <w:szCs w:val="22"/>
              </w:rPr>
              <w:t>)</w:t>
            </w:r>
          </w:p>
          <w:p w14:paraId="733C62BF" w14:textId="77777777" w:rsidR="00F273C8" w:rsidRDefault="00F273C8" w:rsidP="00F273C8">
            <w:pPr>
              <w:numPr>
                <w:ilvl w:val="0"/>
                <w:numId w:val="6"/>
              </w:numPr>
              <w:rPr>
                <w:rFonts w:ascii="Arial" w:hAnsi="Arial" w:cs="Arial"/>
                <w:sz w:val="22"/>
                <w:szCs w:val="22"/>
              </w:rPr>
            </w:pPr>
            <w:r>
              <w:rPr>
                <w:rFonts w:ascii="Arial" w:hAnsi="Arial" w:cs="Arial"/>
                <w:sz w:val="22"/>
                <w:szCs w:val="22"/>
              </w:rPr>
              <w:t>Synergistisk (</w:t>
            </w:r>
            <w:r w:rsidRPr="005950D4">
              <w:rPr>
                <w:rFonts w:ascii="Arial" w:hAnsi="Arial" w:cs="Arial"/>
                <w:sz w:val="22"/>
                <w:szCs w:val="22"/>
              </w:rPr>
              <w:t>virkende sammen (og gensidigt forstærkende)</w:t>
            </w:r>
          </w:p>
          <w:p w14:paraId="6EA53C5C" w14:textId="77777777" w:rsidR="00F273C8" w:rsidRDefault="00F273C8" w:rsidP="00F273C8">
            <w:pPr>
              <w:numPr>
                <w:ilvl w:val="0"/>
                <w:numId w:val="6"/>
              </w:numPr>
              <w:rPr>
                <w:rFonts w:ascii="Arial" w:hAnsi="Arial" w:cs="Arial"/>
                <w:sz w:val="22"/>
                <w:szCs w:val="22"/>
              </w:rPr>
            </w:pPr>
            <w:r>
              <w:rPr>
                <w:rFonts w:ascii="Arial" w:hAnsi="Arial" w:cs="Arial"/>
                <w:sz w:val="22"/>
                <w:szCs w:val="22"/>
              </w:rPr>
              <w:t>Uforudset (en bivirkning eller effekt som ikke er set ved det enkelte lægemiddel)</w:t>
            </w:r>
          </w:p>
          <w:p w14:paraId="0F85C7D7" w14:textId="77777777" w:rsidR="000625E9" w:rsidRDefault="000625E9" w:rsidP="000625E9">
            <w:pPr>
              <w:rPr>
                <w:rFonts w:ascii="Arial" w:hAnsi="Arial"/>
                <w:sz w:val="22"/>
              </w:rPr>
            </w:pPr>
          </w:p>
          <w:p w14:paraId="4CAAF5B5" w14:textId="77777777" w:rsidR="003C5BCB" w:rsidRDefault="003C5BCB" w:rsidP="000625E9">
            <w:pPr>
              <w:rPr>
                <w:rFonts w:ascii="Arial" w:hAnsi="Arial"/>
                <w:sz w:val="22"/>
              </w:rPr>
            </w:pPr>
          </w:p>
          <w:p w14:paraId="55A10049" w14:textId="77777777" w:rsidR="003C5BCB" w:rsidRDefault="003C5BCB" w:rsidP="000625E9">
            <w:pPr>
              <w:rPr>
                <w:rFonts w:ascii="Arial" w:hAnsi="Arial"/>
                <w:sz w:val="22"/>
              </w:rPr>
            </w:pPr>
          </w:p>
          <w:p w14:paraId="66BFDDE8" w14:textId="76FB83BE" w:rsidR="009E5238" w:rsidRPr="000625E9" w:rsidRDefault="009E5238" w:rsidP="000625E9">
            <w:pPr>
              <w:rPr>
                <w:rFonts w:ascii="Arial" w:hAnsi="Arial"/>
                <w:sz w:val="22"/>
              </w:rPr>
            </w:pPr>
            <w:r w:rsidRPr="000625E9">
              <w:rPr>
                <w:rFonts w:ascii="Arial" w:hAnsi="Arial"/>
                <w:sz w:val="22"/>
              </w:rPr>
              <w:t>I</w:t>
            </w:r>
            <w:r w:rsidR="003234B7" w:rsidRPr="000625E9">
              <w:rPr>
                <w:rFonts w:ascii="Arial" w:hAnsi="Arial"/>
                <w:sz w:val="22"/>
              </w:rPr>
              <w:t xml:space="preserve"> form af hhv. udvikling af en toksisk reaktion (eller udvikling af bivirkninger) dvs. en forstærket </w:t>
            </w:r>
            <w:r w:rsidR="008B5DA6">
              <w:rPr>
                <w:rFonts w:ascii="Arial" w:hAnsi="Arial"/>
                <w:sz w:val="22"/>
              </w:rPr>
              <w:t>effekt (potenseret</w:t>
            </w:r>
            <w:r w:rsidR="00EE0680">
              <w:rPr>
                <w:rFonts w:ascii="Arial" w:hAnsi="Arial"/>
                <w:sz w:val="22"/>
              </w:rPr>
              <w:t xml:space="preserve"> effekt</w:t>
            </w:r>
            <w:r w:rsidR="008B5DA6">
              <w:rPr>
                <w:rFonts w:ascii="Arial" w:hAnsi="Arial"/>
                <w:sz w:val="22"/>
              </w:rPr>
              <w:t>) eller formindskelse /</w:t>
            </w:r>
            <w:r w:rsidR="003234B7" w:rsidRPr="000625E9">
              <w:rPr>
                <w:rFonts w:ascii="Arial" w:hAnsi="Arial"/>
                <w:sz w:val="22"/>
              </w:rPr>
              <w:t xml:space="preserve"> udeblivelse af et lægemiddels effekt </w:t>
            </w:r>
            <w:r w:rsidR="00EE0680">
              <w:rPr>
                <w:rFonts w:ascii="Arial" w:hAnsi="Arial"/>
                <w:sz w:val="22"/>
              </w:rPr>
              <w:t xml:space="preserve">(antagonistisk effekt) </w:t>
            </w:r>
            <w:r w:rsidR="003234B7" w:rsidRPr="000625E9">
              <w:rPr>
                <w:rFonts w:ascii="Arial" w:hAnsi="Arial"/>
                <w:sz w:val="22"/>
              </w:rPr>
              <w:t xml:space="preserve">hvilket kan være lige så alvorligt. </w:t>
            </w:r>
          </w:p>
          <w:p w14:paraId="014EE8C9" w14:textId="77777777" w:rsidR="000625E9" w:rsidRDefault="000625E9" w:rsidP="000625E9">
            <w:pPr>
              <w:rPr>
                <w:rFonts w:ascii="Arial" w:hAnsi="Arial"/>
                <w:sz w:val="22"/>
              </w:rPr>
            </w:pPr>
          </w:p>
          <w:p w14:paraId="736D8379" w14:textId="4EF25D76" w:rsidR="003234B7" w:rsidRPr="000625E9" w:rsidRDefault="009E5238" w:rsidP="000625E9">
            <w:pPr>
              <w:rPr>
                <w:rFonts w:ascii="Arial" w:hAnsi="Arial"/>
                <w:sz w:val="22"/>
              </w:rPr>
            </w:pPr>
            <w:r w:rsidRPr="000625E9">
              <w:rPr>
                <w:rFonts w:ascii="Arial" w:hAnsi="Arial"/>
                <w:sz w:val="22"/>
              </w:rPr>
              <w:t xml:space="preserve">Men interaktioner kan også </w:t>
            </w:r>
            <w:r w:rsidR="00F24052">
              <w:rPr>
                <w:rFonts w:ascii="Arial" w:hAnsi="Arial"/>
                <w:sz w:val="22"/>
              </w:rPr>
              <w:t xml:space="preserve">være </w:t>
            </w:r>
            <w:r w:rsidRPr="000625E9">
              <w:rPr>
                <w:rFonts w:ascii="Arial" w:hAnsi="Arial"/>
                <w:sz w:val="22"/>
              </w:rPr>
              <w:t xml:space="preserve">ønskelige fx den additive effekt af flere antidiabetika og antihypertensiva. </w:t>
            </w:r>
            <w:r w:rsidR="00041D10">
              <w:rPr>
                <w:rFonts w:ascii="Arial" w:hAnsi="Arial"/>
                <w:sz w:val="22"/>
              </w:rPr>
              <w:t xml:space="preserve">Synergistisk effekt af to eller flere lægemidler kan også ønskes udnyttet. </w:t>
            </w:r>
          </w:p>
          <w:p w14:paraId="4A854DA2" w14:textId="77777777" w:rsidR="000625E9" w:rsidRDefault="000625E9" w:rsidP="000625E9">
            <w:pPr>
              <w:rPr>
                <w:rFonts w:ascii="Arial" w:hAnsi="Arial"/>
                <w:sz w:val="22"/>
              </w:rPr>
            </w:pPr>
          </w:p>
          <w:p w14:paraId="68419C4E" w14:textId="1811DB39" w:rsidR="00835401" w:rsidRDefault="000625E9" w:rsidP="000625E9">
            <w:pPr>
              <w:rPr>
                <w:rFonts w:ascii="Arial" w:hAnsi="Arial"/>
                <w:sz w:val="22"/>
              </w:rPr>
            </w:pPr>
            <w:r>
              <w:rPr>
                <w:rFonts w:ascii="Arial" w:hAnsi="Arial"/>
                <w:sz w:val="22"/>
              </w:rPr>
              <w:t xml:space="preserve">Samtidig indgift af flere lægemidler (5-7 forskellige lægemidler) er ikke ualmindeligt, slet ikke hos ældre. Hyppigheden af lægemiddelinteraktioner er steget i takt med større kendskab til farmacien generelt, men skyldes i høj grad også polyfarmaci. </w:t>
            </w:r>
          </w:p>
          <w:p w14:paraId="381640F7" w14:textId="77777777" w:rsidR="00835401" w:rsidRDefault="00835401" w:rsidP="000625E9">
            <w:pPr>
              <w:rPr>
                <w:rFonts w:ascii="Arial" w:hAnsi="Arial"/>
                <w:sz w:val="22"/>
              </w:rPr>
            </w:pPr>
          </w:p>
          <w:p w14:paraId="40BA67B2" w14:textId="77777777" w:rsidR="0085357C" w:rsidRDefault="0085357C" w:rsidP="000625E9">
            <w:pPr>
              <w:rPr>
                <w:rFonts w:ascii="Arial" w:hAnsi="Arial"/>
                <w:sz w:val="22"/>
              </w:rPr>
            </w:pPr>
            <w:r>
              <w:rPr>
                <w:rFonts w:ascii="Arial" w:hAnsi="Arial"/>
                <w:sz w:val="22"/>
              </w:rPr>
              <w:t>Hos ældre ses hyppigere lægemiddelinteraktioner, dette skyldes flere forhold:</w:t>
            </w:r>
          </w:p>
          <w:p w14:paraId="4A28ED28" w14:textId="162133DD" w:rsidR="0085357C" w:rsidRPr="0085357C" w:rsidRDefault="0085357C" w:rsidP="0085357C">
            <w:pPr>
              <w:pStyle w:val="Listeafsnit"/>
              <w:numPr>
                <w:ilvl w:val="0"/>
                <w:numId w:val="8"/>
              </w:numPr>
              <w:rPr>
                <w:rFonts w:ascii="Arial" w:hAnsi="Arial"/>
                <w:sz w:val="22"/>
              </w:rPr>
            </w:pPr>
            <w:r w:rsidRPr="0085357C">
              <w:rPr>
                <w:rFonts w:ascii="Arial" w:hAnsi="Arial"/>
                <w:sz w:val="22"/>
              </w:rPr>
              <w:t>Øget følsomhed for virkning og bivirkning</w:t>
            </w:r>
          </w:p>
          <w:p w14:paraId="1FAF8F5D" w14:textId="77777777" w:rsidR="0085357C" w:rsidRDefault="0085357C" w:rsidP="0085357C">
            <w:pPr>
              <w:pStyle w:val="Listeafsnit"/>
              <w:numPr>
                <w:ilvl w:val="0"/>
                <w:numId w:val="8"/>
              </w:numPr>
              <w:rPr>
                <w:rFonts w:ascii="Arial" w:hAnsi="Arial"/>
                <w:sz w:val="22"/>
              </w:rPr>
            </w:pPr>
            <w:r>
              <w:rPr>
                <w:rFonts w:ascii="Arial" w:hAnsi="Arial"/>
                <w:sz w:val="22"/>
              </w:rPr>
              <w:t>Polyfarmaci</w:t>
            </w:r>
          </w:p>
          <w:p w14:paraId="6EC4380F" w14:textId="77777777" w:rsidR="0085357C" w:rsidRDefault="0085357C" w:rsidP="0085357C">
            <w:pPr>
              <w:pStyle w:val="Listeafsnit"/>
              <w:numPr>
                <w:ilvl w:val="0"/>
                <w:numId w:val="8"/>
              </w:numPr>
              <w:rPr>
                <w:rFonts w:ascii="Arial" w:hAnsi="Arial"/>
                <w:sz w:val="22"/>
              </w:rPr>
            </w:pPr>
            <w:r>
              <w:rPr>
                <w:rFonts w:ascii="Arial" w:hAnsi="Arial"/>
                <w:sz w:val="22"/>
              </w:rPr>
              <w:t>Ofte generelt nedsat renal og hepatisk eliminationsevne</w:t>
            </w:r>
          </w:p>
          <w:p w14:paraId="4BA08AF8" w14:textId="77777777" w:rsidR="0085357C" w:rsidRDefault="0085357C" w:rsidP="0085357C">
            <w:pPr>
              <w:pStyle w:val="Listeafsnit"/>
              <w:numPr>
                <w:ilvl w:val="0"/>
                <w:numId w:val="8"/>
              </w:numPr>
              <w:rPr>
                <w:rFonts w:ascii="Arial" w:hAnsi="Arial"/>
                <w:sz w:val="22"/>
              </w:rPr>
            </w:pPr>
            <w:r>
              <w:rPr>
                <w:rFonts w:ascii="Arial" w:hAnsi="Arial"/>
                <w:sz w:val="22"/>
              </w:rPr>
              <w:t>Langtidsbehandling</w:t>
            </w:r>
          </w:p>
          <w:p w14:paraId="483FF687" w14:textId="77777777" w:rsidR="0085357C" w:rsidRDefault="0085357C" w:rsidP="0085357C">
            <w:pPr>
              <w:pStyle w:val="Listeafsnit"/>
              <w:numPr>
                <w:ilvl w:val="0"/>
                <w:numId w:val="8"/>
              </w:numPr>
              <w:rPr>
                <w:rFonts w:ascii="Arial" w:hAnsi="Arial"/>
                <w:sz w:val="22"/>
              </w:rPr>
            </w:pPr>
            <w:r>
              <w:rPr>
                <w:rFonts w:ascii="Arial" w:hAnsi="Arial"/>
                <w:sz w:val="22"/>
              </w:rPr>
              <w:t>Sygdomsforekomst</w:t>
            </w:r>
          </w:p>
          <w:p w14:paraId="5B93DEB0" w14:textId="34D271B9" w:rsidR="0085357C" w:rsidRDefault="00126B66" w:rsidP="0085357C">
            <w:pPr>
              <w:pStyle w:val="Listeafsnit"/>
              <w:numPr>
                <w:ilvl w:val="0"/>
                <w:numId w:val="8"/>
              </w:numPr>
              <w:rPr>
                <w:rFonts w:ascii="Arial" w:hAnsi="Arial"/>
                <w:sz w:val="22"/>
              </w:rPr>
            </w:pPr>
            <w:r>
              <w:rPr>
                <w:rFonts w:ascii="Arial" w:hAnsi="Arial"/>
                <w:sz w:val="22"/>
              </w:rPr>
              <w:t>Nedsat homø</w:t>
            </w:r>
            <w:r w:rsidR="0085357C">
              <w:rPr>
                <w:rFonts w:ascii="Arial" w:hAnsi="Arial"/>
                <w:sz w:val="22"/>
              </w:rPr>
              <w:t>ostatisk re</w:t>
            </w:r>
            <w:r>
              <w:rPr>
                <w:rFonts w:ascii="Arial" w:hAnsi="Arial"/>
                <w:sz w:val="22"/>
              </w:rPr>
              <w:t>sp</w:t>
            </w:r>
            <w:r w:rsidR="0085357C">
              <w:rPr>
                <w:rFonts w:ascii="Arial" w:hAnsi="Arial"/>
                <w:sz w:val="22"/>
              </w:rPr>
              <w:t>ons</w:t>
            </w:r>
          </w:p>
          <w:p w14:paraId="4ADB61EB" w14:textId="77777777" w:rsidR="0076623F" w:rsidRDefault="0076623F" w:rsidP="0076623F">
            <w:pPr>
              <w:rPr>
                <w:rFonts w:ascii="Arial" w:hAnsi="Arial"/>
                <w:sz w:val="22"/>
              </w:rPr>
            </w:pPr>
          </w:p>
          <w:p w14:paraId="2E9BDF0A" w14:textId="7343D8F8" w:rsidR="0076623F" w:rsidRPr="0076623F" w:rsidRDefault="0076623F" w:rsidP="0076623F">
            <w:pPr>
              <w:rPr>
                <w:rFonts w:ascii="Arial" w:hAnsi="Arial"/>
                <w:sz w:val="22"/>
              </w:rPr>
            </w:pPr>
            <w:r>
              <w:rPr>
                <w:rFonts w:ascii="Arial" w:hAnsi="Arial"/>
                <w:sz w:val="22"/>
              </w:rPr>
              <w:t xml:space="preserve">Hos ældre ses tillige øget medicin-sygdom interaktioner, hvor et lægemiddel forværre en sygdoms symptomer. </w:t>
            </w:r>
          </w:p>
          <w:p w14:paraId="02916A81" w14:textId="77777777" w:rsidR="0085357C" w:rsidRDefault="0085357C" w:rsidP="000625E9">
            <w:pPr>
              <w:rPr>
                <w:rFonts w:ascii="Arial" w:hAnsi="Arial"/>
                <w:sz w:val="22"/>
              </w:rPr>
            </w:pPr>
          </w:p>
          <w:p w14:paraId="2A3F1255" w14:textId="77777777" w:rsidR="0076623F" w:rsidRDefault="0076623F" w:rsidP="000625E9">
            <w:pPr>
              <w:rPr>
                <w:rFonts w:ascii="Arial" w:hAnsi="Arial"/>
                <w:sz w:val="22"/>
              </w:rPr>
            </w:pPr>
          </w:p>
          <w:p w14:paraId="40D6E871" w14:textId="77777777" w:rsidR="0085357C" w:rsidRDefault="0085357C" w:rsidP="000625E9">
            <w:pPr>
              <w:rPr>
                <w:rFonts w:ascii="Arial" w:hAnsi="Arial"/>
                <w:sz w:val="22"/>
              </w:rPr>
            </w:pPr>
          </w:p>
          <w:p w14:paraId="3ED674CE" w14:textId="4B6C7265" w:rsidR="00835401" w:rsidRPr="00446C91" w:rsidRDefault="00835401" w:rsidP="00446C91">
            <w:pPr>
              <w:pStyle w:val="Listeafsnit"/>
              <w:numPr>
                <w:ilvl w:val="0"/>
                <w:numId w:val="2"/>
              </w:numPr>
              <w:rPr>
                <w:rFonts w:ascii="Arial" w:hAnsi="Arial"/>
                <w:sz w:val="22"/>
              </w:rPr>
            </w:pPr>
            <w:r w:rsidRPr="007077B4">
              <w:rPr>
                <w:rFonts w:ascii="Arial" w:hAnsi="Arial"/>
                <w:sz w:val="22"/>
                <w:u w:val="single"/>
              </w:rPr>
              <w:t>Ændring af gastrointestinal absorption:</w:t>
            </w:r>
            <w:r w:rsidRPr="00446C91">
              <w:rPr>
                <w:rFonts w:ascii="Arial" w:hAnsi="Arial"/>
                <w:sz w:val="22"/>
              </w:rPr>
              <w:t xml:space="preserve"> Et lægemi</w:t>
            </w:r>
            <w:r w:rsidR="007077B4">
              <w:rPr>
                <w:rFonts w:ascii="Arial" w:hAnsi="Arial"/>
                <w:sz w:val="22"/>
              </w:rPr>
              <w:t>ddel</w:t>
            </w:r>
            <w:r w:rsidRPr="00446C91">
              <w:rPr>
                <w:rFonts w:ascii="Arial" w:hAnsi="Arial"/>
                <w:sz w:val="22"/>
              </w:rPr>
              <w:t xml:space="preserve"> kan påvirke et andet lægemiddels absorption ved at ændre enten aborptionshastigheden eller absorptionsfraktionen. </w:t>
            </w:r>
            <w:r w:rsidR="00F228DB" w:rsidRPr="00446C91">
              <w:rPr>
                <w:rFonts w:ascii="Arial" w:hAnsi="Arial"/>
                <w:sz w:val="22"/>
              </w:rPr>
              <w:t xml:space="preserve">Fx kan opioider nedsætte ventrikeltømning hvilket kan nedsætte absorption </w:t>
            </w:r>
            <w:r w:rsidR="007077B4">
              <w:rPr>
                <w:rFonts w:ascii="Arial" w:hAnsi="Arial"/>
                <w:sz w:val="22"/>
              </w:rPr>
              <w:t xml:space="preserve">over tarmepitel </w:t>
            </w:r>
            <w:r w:rsidR="00F228DB" w:rsidRPr="00446C91">
              <w:rPr>
                <w:rFonts w:ascii="Arial" w:hAnsi="Arial"/>
                <w:sz w:val="22"/>
              </w:rPr>
              <w:t xml:space="preserve">af andre lægemidler fx paracetamol. </w:t>
            </w:r>
            <w:r w:rsidR="007077B4">
              <w:rPr>
                <w:rFonts w:ascii="Arial" w:hAnsi="Arial"/>
                <w:sz w:val="22"/>
              </w:rPr>
              <w:t xml:space="preserve">Dette problem kan som regel løses ved at dosere med 3-4 timer interval. Dette gælder også interaktion med føde. </w:t>
            </w:r>
          </w:p>
          <w:p w14:paraId="25D177FC" w14:textId="77777777" w:rsidR="00446C91" w:rsidRDefault="00B6668D" w:rsidP="00446C91">
            <w:pPr>
              <w:pStyle w:val="Listeafsnit"/>
              <w:numPr>
                <w:ilvl w:val="0"/>
                <w:numId w:val="2"/>
              </w:numPr>
              <w:rPr>
                <w:rFonts w:ascii="Arial" w:hAnsi="Arial"/>
                <w:sz w:val="22"/>
                <w:u w:val="single"/>
              </w:rPr>
            </w:pPr>
            <w:r w:rsidRPr="00987E5E">
              <w:rPr>
                <w:rFonts w:ascii="Arial" w:hAnsi="Arial"/>
                <w:sz w:val="22"/>
                <w:u w:val="single"/>
              </w:rPr>
              <w:t>Ændring af plasmaproteinbindingen:</w:t>
            </w:r>
          </w:p>
          <w:p w14:paraId="4B10651E" w14:textId="17DDD7AB" w:rsidR="00331C53" w:rsidRDefault="00E677A9" w:rsidP="00331C53">
            <w:pPr>
              <w:pStyle w:val="Listeafsnit"/>
              <w:rPr>
                <w:rFonts w:ascii="Arial" w:hAnsi="Arial"/>
                <w:sz w:val="22"/>
              </w:rPr>
            </w:pPr>
            <w:r>
              <w:rPr>
                <w:rFonts w:ascii="Arial" w:hAnsi="Arial"/>
                <w:sz w:val="22"/>
              </w:rPr>
              <w:t xml:space="preserve">Lægemidler der er bundet til plasmaproteiner i udtalt grad, displaceres fra proteinbindingen ved tilsætning af andre udtalt proteinbundne lægemidler. </w:t>
            </w:r>
            <w:r w:rsidR="0078585A">
              <w:rPr>
                <w:rFonts w:ascii="Arial" w:hAnsi="Arial"/>
                <w:sz w:val="22"/>
              </w:rPr>
              <w:t xml:space="preserve">Frie, ikke-proteinbundne, lægemidler er mere aktive end bundne og dette kan derfor lede til øget farmakologisk virkning. </w:t>
            </w:r>
            <w:r w:rsidR="005E32F8">
              <w:rPr>
                <w:rFonts w:ascii="Arial" w:hAnsi="Arial"/>
                <w:sz w:val="22"/>
              </w:rPr>
              <w:t>Dette har dog ikke så stor klinisk relevans</w:t>
            </w:r>
            <w:r w:rsidR="0059266E">
              <w:rPr>
                <w:rFonts w:ascii="Arial" w:hAnsi="Arial"/>
                <w:sz w:val="22"/>
              </w:rPr>
              <w:t xml:space="preserve"> – udskilles hurtigere når det ikke er bundet</w:t>
            </w:r>
            <w:r w:rsidR="005E32F8">
              <w:rPr>
                <w:rFonts w:ascii="Arial" w:hAnsi="Arial"/>
                <w:sz w:val="22"/>
              </w:rPr>
              <w:t>.</w:t>
            </w:r>
          </w:p>
          <w:p w14:paraId="2B54BA62" w14:textId="14B7F8B7" w:rsidR="00331C53" w:rsidRDefault="00331C53" w:rsidP="00331C53">
            <w:pPr>
              <w:pStyle w:val="Listeafsnit"/>
              <w:numPr>
                <w:ilvl w:val="0"/>
                <w:numId w:val="4"/>
              </w:numPr>
              <w:rPr>
                <w:rFonts w:ascii="Arial" w:hAnsi="Arial"/>
                <w:sz w:val="22"/>
                <w:u w:val="single"/>
              </w:rPr>
            </w:pPr>
            <w:r w:rsidRPr="00331C53">
              <w:rPr>
                <w:rFonts w:ascii="Arial" w:hAnsi="Arial"/>
                <w:sz w:val="22"/>
                <w:u w:val="single"/>
              </w:rPr>
              <w:t>Øgning i leveromsætning:</w:t>
            </w:r>
          </w:p>
          <w:p w14:paraId="70CD3568" w14:textId="086188E6" w:rsidR="00331C53" w:rsidRDefault="00B35925" w:rsidP="00331C53">
            <w:pPr>
              <w:pStyle w:val="Listeafsnit"/>
              <w:rPr>
                <w:rFonts w:ascii="Arial" w:hAnsi="Arial"/>
                <w:sz w:val="22"/>
              </w:rPr>
            </w:pPr>
            <w:r>
              <w:rPr>
                <w:rFonts w:ascii="Arial" w:hAnsi="Arial"/>
                <w:sz w:val="22"/>
              </w:rPr>
              <w:t>Mange lægemidler</w:t>
            </w:r>
            <w:r w:rsidR="007845C1">
              <w:rPr>
                <w:rFonts w:ascii="Arial" w:hAnsi="Arial"/>
                <w:sz w:val="22"/>
              </w:rPr>
              <w:t>,</w:t>
            </w:r>
            <w:r w:rsidR="00A11492">
              <w:rPr>
                <w:rFonts w:ascii="Arial" w:hAnsi="Arial"/>
                <w:sz w:val="22"/>
              </w:rPr>
              <w:t xml:space="preserve"> samt rygning,</w:t>
            </w:r>
            <w:r>
              <w:rPr>
                <w:rFonts w:ascii="Arial" w:hAnsi="Arial"/>
                <w:sz w:val="22"/>
              </w:rPr>
              <w:t xml:space="preserve"> øger omsætningen af andre lægemidler ved induktion af både fase-I og fase-II-læge</w:t>
            </w:r>
            <w:r w:rsidR="00126B66">
              <w:rPr>
                <w:rFonts w:ascii="Arial" w:hAnsi="Arial"/>
                <w:sz w:val="22"/>
              </w:rPr>
              <w:t>middel</w:t>
            </w:r>
            <w:r>
              <w:rPr>
                <w:rFonts w:ascii="Arial" w:hAnsi="Arial"/>
                <w:sz w:val="22"/>
              </w:rPr>
              <w:t>nedbrydende enzymer i leveren. Afhængigt om metabolitten er aktiv eller inaktiv hhv. forøges eller mindskes den farmakologiske effekt.</w:t>
            </w:r>
          </w:p>
          <w:p w14:paraId="3C5BAC07" w14:textId="23E36D53" w:rsidR="00983ED9" w:rsidRDefault="00983ED9" w:rsidP="00983ED9">
            <w:pPr>
              <w:pStyle w:val="Listeafsnit"/>
              <w:numPr>
                <w:ilvl w:val="0"/>
                <w:numId w:val="4"/>
              </w:numPr>
              <w:rPr>
                <w:rFonts w:ascii="Arial" w:hAnsi="Arial"/>
                <w:sz w:val="22"/>
                <w:u w:val="single"/>
              </w:rPr>
            </w:pPr>
            <w:r w:rsidRPr="00983ED9">
              <w:rPr>
                <w:rFonts w:ascii="Arial" w:hAnsi="Arial"/>
                <w:sz w:val="22"/>
                <w:u w:val="single"/>
              </w:rPr>
              <w:t>Hæmning af leveromsætning:</w:t>
            </w:r>
          </w:p>
          <w:p w14:paraId="3EC6751E" w14:textId="079A4216" w:rsidR="00983ED9" w:rsidRDefault="00B628E3" w:rsidP="00983ED9">
            <w:pPr>
              <w:pStyle w:val="Listeafsnit"/>
              <w:rPr>
                <w:rFonts w:ascii="Arial" w:hAnsi="Arial"/>
                <w:sz w:val="22"/>
              </w:rPr>
            </w:pPr>
            <w:r>
              <w:rPr>
                <w:rFonts w:ascii="Arial" w:hAnsi="Arial"/>
                <w:sz w:val="22"/>
              </w:rPr>
              <w:t xml:space="preserve">Vil medføre nedsat clearance og som </w:t>
            </w:r>
            <w:r>
              <w:rPr>
                <w:rFonts w:ascii="Arial" w:hAnsi="Arial"/>
                <w:sz w:val="22"/>
              </w:rPr>
              <w:lastRenderedPageBreak/>
              <w:t>regel forlænget halveringstid. Skyldes oftest kompetetiv hæmning af CYP. Da der findes multiple CY</w:t>
            </w:r>
            <w:r w:rsidR="00126B66">
              <w:rPr>
                <w:rFonts w:ascii="Arial" w:hAnsi="Arial"/>
                <w:sz w:val="22"/>
              </w:rPr>
              <w:t>P</w:t>
            </w:r>
            <w:r>
              <w:rPr>
                <w:rFonts w:ascii="Arial" w:hAnsi="Arial"/>
                <w:sz w:val="22"/>
              </w:rPr>
              <w:t xml:space="preserve">-enzymer vil en inhibitor kunne hæmme omsætning af visse lægemidler men ikke alle lægemidler. </w:t>
            </w:r>
          </w:p>
          <w:p w14:paraId="333187F3" w14:textId="5672B894" w:rsidR="00B628E3" w:rsidRDefault="00B628E3" w:rsidP="00B628E3">
            <w:pPr>
              <w:pStyle w:val="Listeafsnit"/>
              <w:numPr>
                <w:ilvl w:val="0"/>
                <w:numId w:val="4"/>
              </w:numPr>
              <w:rPr>
                <w:rFonts w:ascii="Arial" w:hAnsi="Arial"/>
                <w:sz w:val="22"/>
                <w:u w:val="single"/>
              </w:rPr>
            </w:pPr>
            <w:r>
              <w:rPr>
                <w:rFonts w:ascii="Arial" w:hAnsi="Arial"/>
                <w:sz w:val="22"/>
                <w:u w:val="single"/>
              </w:rPr>
              <w:t xml:space="preserve">Ændring af renal udskillelse: </w:t>
            </w:r>
          </w:p>
          <w:p w14:paraId="0A1FF304" w14:textId="371A3819" w:rsidR="00B628E3" w:rsidRPr="00B628E3" w:rsidRDefault="00B628E3" w:rsidP="00B628E3">
            <w:pPr>
              <w:pStyle w:val="Listeafsnit"/>
              <w:rPr>
                <w:rFonts w:ascii="Arial" w:hAnsi="Arial"/>
                <w:sz w:val="22"/>
              </w:rPr>
            </w:pPr>
            <w:r>
              <w:rPr>
                <w:rFonts w:ascii="Arial" w:hAnsi="Arial"/>
                <w:sz w:val="22"/>
              </w:rPr>
              <w:t>Lægemidler og metabolitter</w:t>
            </w:r>
            <w:r w:rsidR="00126B66">
              <w:rPr>
                <w:rFonts w:ascii="Arial" w:hAnsi="Arial"/>
                <w:sz w:val="22"/>
              </w:rPr>
              <w:t xml:space="preserve"> som</w:t>
            </w:r>
            <w:r>
              <w:rPr>
                <w:rFonts w:ascii="Arial" w:hAnsi="Arial"/>
                <w:sz w:val="22"/>
              </w:rPr>
              <w:t xml:space="preserve"> er svage syrer udskilles via det samme aktive trans</w:t>
            </w:r>
            <w:r w:rsidR="00126B66">
              <w:rPr>
                <w:rFonts w:ascii="Arial" w:hAnsi="Arial"/>
                <w:sz w:val="22"/>
              </w:rPr>
              <w:t>port system og der er derved mulighed for gensidig kompeti</w:t>
            </w:r>
            <w:r>
              <w:rPr>
                <w:rFonts w:ascii="Arial" w:hAnsi="Arial"/>
                <w:sz w:val="22"/>
              </w:rPr>
              <w:t xml:space="preserve">tiv hæmning. </w:t>
            </w:r>
          </w:p>
          <w:p w14:paraId="48D65579" w14:textId="77777777" w:rsidR="00B628E3" w:rsidRPr="00112DCD" w:rsidRDefault="00B628E3" w:rsidP="00B628E3">
            <w:pPr>
              <w:pStyle w:val="Listeafsnit"/>
              <w:rPr>
                <w:rFonts w:ascii="Arial" w:hAnsi="Arial"/>
                <w:sz w:val="22"/>
                <w:u w:val="single"/>
              </w:rPr>
            </w:pPr>
          </w:p>
          <w:p w14:paraId="31E59CA8" w14:textId="31DD2C1E" w:rsidR="00E677A9" w:rsidRDefault="00112DCD" w:rsidP="00112DCD">
            <w:pPr>
              <w:pStyle w:val="Listeafsnit"/>
              <w:numPr>
                <w:ilvl w:val="0"/>
                <w:numId w:val="4"/>
              </w:numPr>
              <w:rPr>
                <w:rFonts w:ascii="Arial" w:hAnsi="Arial"/>
                <w:sz w:val="22"/>
                <w:u w:val="single"/>
              </w:rPr>
            </w:pPr>
            <w:r w:rsidRPr="00112DCD">
              <w:rPr>
                <w:rFonts w:ascii="Arial" w:hAnsi="Arial"/>
                <w:sz w:val="22"/>
                <w:u w:val="single"/>
              </w:rPr>
              <w:t xml:space="preserve">Ændring ved receptorer: </w:t>
            </w:r>
          </w:p>
          <w:p w14:paraId="0B598339" w14:textId="040BD5A3" w:rsidR="007D44AE" w:rsidRDefault="007D44AE" w:rsidP="00112DCD">
            <w:pPr>
              <w:pStyle w:val="Listeafsnit"/>
              <w:rPr>
                <w:rFonts w:ascii="Arial" w:hAnsi="Arial"/>
                <w:sz w:val="22"/>
              </w:rPr>
            </w:pPr>
            <w:r>
              <w:rPr>
                <w:rFonts w:ascii="Arial" w:hAnsi="Arial"/>
                <w:sz w:val="22"/>
              </w:rPr>
              <w:t>Synergisme, antagonisme, potensering, additiv effekt.</w:t>
            </w:r>
          </w:p>
          <w:p w14:paraId="17F8CFD1" w14:textId="1E6FA853" w:rsidR="00112DCD" w:rsidRPr="00112DCD" w:rsidRDefault="00C7763E" w:rsidP="00112DCD">
            <w:pPr>
              <w:pStyle w:val="Listeafsnit"/>
              <w:rPr>
                <w:rFonts w:ascii="Arial" w:hAnsi="Arial"/>
                <w:sz w:val="22"/>
              </w:rPr>
            </w:pPr>
            <w:r>
              <w:rPr>
                <w:rFonts w:ascii="Arial" w:hAnsi="Arial"/>
                <w:sz w:val="22"/>
              </w:rPr>
              <w:t xml:space="preserve">Indgift af lægemiddel fx TCA kan hæmme reabsorptionen af anden lægemiddelt fx noradrenalin i det præganglionære neuron </w:t>
            </w:r>
            <w:r w:rsidRPr="00C7763E">
              <w:rPr>
                <w:rFonts w:ascii="Arial" w:hAnsi="Arial"/>
                <w:sz w:val="22"/>
              </w:rPr>
              <w:sym w:font="Wingdings" w:char="F0E0"/>
            </w:r>
            <w:r>
              <w:rPr>
                <w:rFonts w:ascii="Arial" w:hAnsi="Arial"/>
                <w:sz w:val="22"/>
              </w:rPr>
              <w:t xml:space="preserve"> således øge</w:t>
            </w:r>
            <w:r w:rsidR="0059266E">
              <w:rPr>
                <w:rFonts w:ascii="Arial" w:hAnsi="Arial"/>
                <w:sz w:val="22"/>
              </w:rPr>
              <w:t>s</w:t>
            </w:r>
            <w:r>
              <w:rPr>
                <w:rFonts w:ascii="Arial" w:hAnsi="Arial"/>
                <w:sz w:val="22"/>
              </w:rPr>
              <w:t xml:space="preserve"> lægemidlets effekt</w:t>
            </w:r>
            <w:r w:rsidR="0059266E">
              <w:rPr>
                <w:rFonts w:ascii="Arial" w:hAnsi="Arial"/>
                <w:sz w:val="22"/>
              </w:rPr>
              <w:t xml:space="preserve"> (potenserende effekt)</w:t>
            </w:r>
            <w:r>
              <w:rPr>
                <w:rFonts w:ascii="Arial" w:hAnsi="Arial"/>
                <w:sz w:val="22"/>
              </w:rPr>
              <w:t>.</w:t>
            </w:r>
          </w:p>
          <w:p w14:paraId="3C5609C3" w14:textId="77777777" w:rsidR="006C12C4" w:rsidRPr="006C12C4" w:rsidRDefault="00112DCD" w:rsidP="00112DCD">
            <w:pPr>
              <w:pStyle w:val="Listeafsnit"/>
              <w:numPr>
                <w:ilvl w:val="0"/>
                <w:numId w:val="4"/>
              </w:numPr>
              <w:rPr>
                <w:rFonts w:ascii="Arial" w:hAnsi="Arial"/>
                <w:sz w:val="22"/>
              </w:rPr>
            </w:pPr>
            <w:r w:rsidRPr="00112DCD">
              <w:rPr>
                <w:rFonts w:ascii="Arial" w:hAnsi="Arial"/>
                <w:sz w:val="22"/>
                <w:u w:val="single"/>
              </w:rPr>
              <w:t>Ændring af elektrolyt- og væskebalance:</w:t>
            </w:r>
            <w:r w:rsidR="006C12C4">
              <w:rPr>
                <w:rFonts w:ascii="Arial" w:hAnsi="Arial"/>
                <w:sz w:val="22"/>
                <w:u w:val="single"/>
              </w:rPr>
              <w:t xml:space="preserve"> </w:t>
            </w:r>
          </w:p>
          <w:p w14:paraId="0A371810" w14:textId="77777777" w:rsidR="00112DCD" w:rsidRDefault="006C12C4" w:rsidP="006C12C4">
            <w:pPr>
              <w:pStyle w:val="Listeafsnit"/>
              <w:rPr>
                <w:rFonts w:ascii="Arial" w:hAnsi="Arial"/>
                <w:sz w:val="22"/>
              </w:rPr>
            </w:pPr>
            <w:r>
              <w:rPr>
                <w:rFonts w:ascii="Arial" w:hAnsi="Arial"/>
                <w:sz w:val="22"/>
              </w:rPr>
              <w:t xml:space="preserve">Kan ændre lægemidlets virkning, hhv. potensere eller hæmme. </w:t>
            </w:r>
          </w:p>
          <w:p w14:paraId="11D944ED" w14:textId="77777777" w:rsidR="006D1587" w:rsidRDefault="006D1587" w:rsidP="006D1587">
            <w:pPr>
              <w:rPr>
                <w:rFonts w:ascii="Arial" w:hAnsi="Arial"/>
                <w:sz w:val="22"/>
              </w:rPr>
            </w:pPr>
          </w:p>
          <w:p w14:paraId="04F0DAE4" w14:textId="3180A4D0" w:rsidR="006D1587" w:rsidRDefault="006D1587" w:rsidP="006D1587">
            <w:pPr>
              <w:rPr>
                <w:rFonts w:ascii="Arial" w:hAnsi="Arial"/>
                <w:sz w:val="22"/>
              </w:rPr>
            </w:pPr>
            <w:r>
              <w:rPr>
                <w:rFonts w:ascii="Arial" w:hAnsi="Arial"/>
                <w:sz w:val="22"/>
              </w:rPr>
              <w:t xml:space="preserve">Samtidig indgift af to eller flere lægemidler, for hvilke der er kendte famakokinetiske interaktioner, er ikke absolut kontraindiceret. Man bør dog vælge et ikke-interagerende lægemiddel, hvis et ligeværdigt findes. Hvis ikke dette lader sig gøre, er hyppig kontrol samt evt. dosisregulering nødvendig. Generelt vil langvarig behandling, fremfor kortvarig behandling, med farmakokinetiske interaktioner udøve størst risiko. </w:t>
            </w:r>
          </w:p>
          <w:p w14:paraId="270A00DF" w14:textId="77777777" w:rsidR="006D1587" w:rsidRDefault="006D1587" w:rsidP="006D1587">
            <w:pPr>
              <w:rPr>
                <w:rFonts w:ascii="Arial" w:hAnsi="Arial"/>
                <w:sz w:val="22"/>
              </w:rPr>
            </w:pPr>
          </w:p>
          <w:p w14:paraId="06607E7E" w14:textId="77777777" w:rsidR="006D1587" w:rsidRDefault="006D1587" w:rsidP="006D1587">
            <w:pPr>
              <w:rPr>
                <w:rFonts w:ascii="Arial" w:hAnsi="Arial"/>
                <w:sz w:val="22"/>
              </w:rPr>
            </w:pPr>
            <w:r>
              <w:rPr>
                <w:rFonts w:ascii="Arial" w:hAnsi="Arial"/>
                <w:sz w:val="22"/>
              </w:rPr>
              <w:t xml:space="preserve">Samtidig indgift med lægemidler der har kendte farmakodynamiske interaktioner bør undgås! </w:t>
            </w:r>
          </w:p>
          <w:p w14:paraId="2DBD573D" w14:textId="77777777" w:rsidR="006D1587" w:rsidRDefault="006D1587" w:rsidP="006D1587">
            <w:pPr>
              <w:rPr>
                <w:rFonts w:ascii="Arial" w:hAnsi="Arial"/>
                <w:sz w:val="22"/>
              </w:rPr>
            </w:pPr>
          </w:p>
          <w:p w14:paraId="52D2AD57" w14:textId="77777777" w:rsidR="00A32E1E" w:rsidRDefault="00C74D63" w:rsidP="006D1587">
            <w:pPr>
              <w:rPr>
                <w:rFonts w:ascii="Arial" w:hAnsi="Arial"/>
                <w:sz w:val="22"/>
              </w:rPr>
            </w:pPr>
            <w:r>
              <w:rPr>
                <w:rFonts w:ascii="Arial" w:hAnsi="Arial"/>
                <w:sz w:val="22"/>
              </w:rPr>
              <w:t>Ældre patienter som har fysiologisk nedsat nyrefunktion, samt patienter med nedsat lever- eller nyrefunktion vil være mere udsatte for udvikling af klinisk betydningsfulde interaktioner.</w:t>
            </w:r>
          </w:p>
          <w:p w14:paraId="7750B998" w14:textId="77777777" w:rsidR="006B18FD" w:rsidRDefault="006B18FD" w:rsidP="006D1587">
            <w:pPr>
              <w:rPr>
                <w:rFonts w:ascii="Arial" w:hAnsi="Arial"/>
                <w:sz w:val="22"/>
              </w:rPr>
            </w:pPr>
          </w:p>
          <w:p w14:paraId="6EECF7FF" w14:textId="3AB578DA" w:rsidR="006B18FD" w:rsidRDefault="00E30C73" w:rsidP="006D1587">
            <w:pPr>
              <w:rPr>
                <w:rFonts w:ascii="Arial" w:hAnsi="Arial"/>
                <w:sz w:val="22"/>
              </w:rPr>
            </w:pPr>
            <w:hyperlink r:id="rId7" w:history="1">
              <w:r w:rsidR="006B18FD" w:rsidRPr="009B0072">
                <w:rPr>
                  <w:rStyle w:val="Hyperlink"/>
                  <w:rFonts w:ascii="Arial" w:hAnsi="Arial"/>
                  <w:sz w:val="22"/>
                </w:rPr>
                <w:t>www.pro.medicin.dk</w:t>
              </w:r>
            </w:hyperlink>
          </w:p>
          <w:p w14:paraId="34D9B080" w14:textId="77777777" w:rsidR="006B18FD" w:rsidRDefault="00E30C73" w:rsidP="006D1587">
            <w:pPr>
              <w:rPr>
                <w:rFonts w:ascii="Arial" w:hAnsi="Arial"/>
                <w:sz w:val="22"/>
              </w:rPr>
            </w:pPr>
            <w:hyperlink r:id="rId8" w:history="1">
              <w:r w:rsidR="006B18FD" w:rsidRPr="009B0072">
                <w:rPr>
                  <w:rStyle w:val="Hyperlink"/>
                  <w:rFonts w:ascii="Arial" w:hAnsi="Arial"/>
                  <w:sz w:val="22"/>
                </w:rPr>
                <w:t>www.interaktionsdatabasen.dk</w:t>
              </w:r>
            </w:hyperlink>
            <w:r w:rsidR="006B18FD">
              <w:rPr>
                <w:rFonts w:ascii="Arial" w:hAnsi="Arial"/>
                <w:sz w:val="22"/>
              </w:rPr>
              <w:t xml:space="preserve"> </w:t>
            </w:r>
          </w:p>
          <w:p w14:paraId="2BD318B8" w14:textId="74D5458A" w:rsidR="006B18FD" w:rsidRPr="006D1587" w:rsidRDefault="006B18FD" w:rsidP="006D1587">
            <w:pPr>
              <w:rPr>
                <w:rFonts w:ascii="Arial" w:hAnsi="Arial"/>
                <w:sz w:val="22"/>
              </w:rPr>
            </w:pPr>
          </w:p>
        </w:tc>
      </w:tr>
      <w:tr w:rsidR="004B074D" w14:paraId="07127F77" w14:textId="77777777" w:rsidTr="008F13F0">
        <w:tc>
          <w:tcPr>
            <w:tcW w:w="4576" w:type="dxa"/>
          </w:tcPr>
          <w:p w14:paraId="69CCF995" w14:textId="52D2E279" w:rsidR="004B074D" w:rsidRPr="003234B7" w:rsidRDefault="004B074D" w:rsidP="0059266E">
            <w:pPr>
              <w:rPr>
                <w:rFonts w:ascii="Arial" w:hAnsi="Arial"/>
                <w:b/>
                <w:u w:val="single"/>
              </w:rPr>
            </w:pPr>
          </w:p>
          <w:p w14:paraId="778FC1FC" w14:textId="77777777" w:rsidR="004B074D" w:rsidRDefault="004B074D" w:rsidP="0059266E">
            <w:pPr>
              <w:rPr>
                <w:rFonts w:ascii="Arial" w:hAnsi="Arial"/>
                <w:b/>
                <w:u w:val="single"/>
              </w:rPr>
            </w:pPr>
            <w:r w:rsidRPr="003234B7">
              <w:rPr>
                <w:rFonts w:ascii="Arial" w:hAnsi="Arial"/>
                <w:b/>
                <w:u w:val="single"/>
              </w:rPr>
              <w:t>Lægemiddel toksikologi</w:t>
            </w:r>
          </w:p>
          <w:p w14:paraId="6111E039" w14:textId="77777777" w:rsidR="004B074D" w:rsidRDefault="004B074D" w:rsidP="0059266E">
            <w:pPr>
              <w:rPr>
                <w:rFonts w:ascii="Arial" w:hAnsi="Arial"/>
              </w:rPr>
            </w:pPr>
          </w:p>
          <w:p w14:paraId="05D3D855" w14:textId="77777777" w:rsidR="004B074D" w:rsidRDefault="004B074D" w:rsidP="0059266E">
            <w:pPr>
              <w:rPr>
                <w:rFonts w:ascii="Arial" w:hAnsi="Arial"/>
                <w:b/>
                <w:sz w:val="22"/>
              </w:rPr>
            </w:pPr>
            <w:r>
              <w:rPr>
                <w:rFonts w:ascii="Arial" w:hAnsi="Arial"/>
                <w:b/>
                <w:sz w:val="22"/>
              </w:rPr>
              <w:lastRenderedPageBreak/>
              <w:t>Toksicitet def.</w:t>
            </w:r>
          </w:p>
          <w:p w14:paraId="2B1EDE64" w14:textId="77777777" w:rsidR="004B074D" w:rsidRDefault="004B074D" w:rsidP="0059266E">
            <w:pPr>
              <w:rPr>
                <w:rFonts w:ascii="Arial" w:hAnsi="Arial"/>
                <w:b/>
                <w:sz w:val="22"/>
              </w:rPr>
            </w:pPr>
          </w:p>
          <w:p w14:paraId="5A466DEE" w14:textId="77777777" w:rsidR="004B074D" w:rsidRDefault="004B074D" w:rsidP="0059266E">
            <w:pPr>
              <w:rPr>
                <w:rFonts w:ascii="Arial" w:hAnsi="Arial"/>
                <w:b/>
                <w:sz w:val="22"/>
              </w:rPr>
            </w:pPr>
          </w:p>
          <w:p w14:paraId="5AF427DD" w14:textId="77777777" w:rsidR="004B074D" w:rsidRDefault="004B074D" w:rsidP="0059266E">
            <w:pPr>
              <w:rPr>
                <w:rFonts w:ascii="Arial" w:hAnsi="Arial"/>
                <w:b/>
                <w:sz w:val="22"/>
              </w:rPr>
            </w:pPr>
          </w:p>
          <w:p w14:paraId="63AA3268" w14:textId="77777777" w:rsidR="004B074D" w:rsidRDefault="004B074D" w:rsidP="0059266E">
            <w:pPr>
              <w:rPr>
                <w:rFonts w:ascii="Arial" w:hAnsi="Arial"/>
                <w:b/>
                <w:sz w:val="22"/>
              </w:rPr>
            </w:pPr>
          </w:p>
          <w:p w14:paraId="135CB9EB" w14:textId="77777777" w:rsidR="004B074D" w:rsidRDefault="004B074D" w:rsidP="0059266E">
            <w:pPr>
              <w:rPr>
                <w:rFonts w:ascii="Arial" w:hAnsi="Arial"/>
                <w:b/>
                <w:sz w:val="22"/>
              </w:rPr>
            </w:pPr>
          </w:p>
          <w:p w14:paraId="675522B1" w14:textId="77777777" w:rsidR="004B074D" w:rsidRDefault="004B074D" w:rsidP="0059266E">
            <w:pPr>
              <w:rPr>
                <w:rFonts w:ascii="Arial" w:hAnsi="Arial"/>
                <w:b/>
                <w:sz w:val="22"/>
              </w:rPr>
            </w:pPr>
          </w:p>
          <w:p w14:paraId="4820D497" w14:textId="77777777" w:rsidR="004B074D" w:rsidRDefault="004B074D" w:rsidP="0059266E">
            <w:pPr>
              <w:rPr>
                <w:rFonts w:ascii="Arial" w:hAnsi="Arial"/>
                <w:b/>
                <w:sz w:val="22"/>
              </w:rPr>
            </w:pPr>
          </w:p>
          <w:p w14:paraId="2E887B19" w14:textId="77777777" w:rsidR="004B074D" w:rsidRDefault="004B074D" w:rsidP="0059266E">
            <w:pPr>
              <w:rPr>
                <w:rFonts w:ascii="Arial" w:hAnsi="Arial"/>
                <w:b/>
                <w:sz w:val="22"/>
              </w:rPr>
            </w:pPr>
          </w:p>
          <w:p w14:paraId="44E74A8B" w14:textId="77777777" w:rsidR="004B074D" w:rsidRPr="009806A7" w:rsidRDefault="004B074D" w:rsidP="0059266E">
            <w:pPr>
              <w:rPr>
                <w:rFonts w:ascii="Arial" w:hAnsi="Arial"/>
                <w:sz w:val="22"/>
              </w:rPr>
            </w:pPr>
            <w:r>
              <w:rPr>
                <w:rFonts w:ascii="Arial" w:hAnsi="Arial"/>
                <w:sz w:val="22"/>
              </w:rPr>
              <w:t xml:space="preserve">Akut toksicitet: </w:t>
            </w:r>
          </w:p>
          <w:p w14:paraId="782395E0" w14:textId="77777777" w:rsidR="004B074D" w:rsidRDefault="004B074D" w:rsidP="0059266E">
            <w:pPr>
              <w:rPr>
                <w:rFonts w:ascii="Arial" w:hAnsi="Arial"/>
                <w:b/>
                <w:sz w:val="22"/>
              </w:rPr>
            </w:pPr>
          </w:p>
          <w:p w14:paraId="0839BB59" w14:textId="77777777" w:rsidR="004B074D" w:rsidRDefault="004B074D" w:rsidP="0059266E">
            <w:pPr>
              <w:rPr>
                <w:rFonts w:ascii="Arial" w:hAnsi="Arial"/>
                <w:b/>
                <w:sz w:val="22"/>
              </w:rPr>
            </w:pPr>
          </w:p>
          <w:p w14:paraId="29D4FA4F" w14:textId="77777777" w:rsidR="004B074D" w:rsidRDefault="004B074D" w:rsidP="0059266E">
            <w:pPr>
              <w:rPr>
                <w:rFonts w:ascii="Arial" w:hAnsi="Arial"/>
                <w:b/>
                <w:sz w:val="22"/>
              </w:rPr>
            </w:pPr>
          </w:p>
          <w:p w14:paraId="6A936C48" w14:textId="77777777" w:rsidR="004B074D" w:rsidRDefault="004B074D" w:rsidP="0059266E">
            <w:pPr>
              <w:rPr>
                <w:rFonts w:ascii="Arial" w:hAnsi="Arial"/>
                <w:b/>
                <w:sz w:val="22"/>
              </w:rPr>
            </w:pPr>
          </w:p>
          <w:p w14:paraId="34AE0037" w14:textId="77777777" w:rsidR="004B074D" w:rsidRDefault="004B074D" w:rsidP="0059266E">
            <w:pPr>
              <w:rPr>
                <w:rFonts w:ascii="Arial" w:hAnsi="Arial"/>
                <w:b/>
                <w:sz w:val="22"/>
              </w:rPr>
            </w:pPr>
          </w:p>
          <w:p w14:paraId="124B13B4" w14:textId="77777777" w:rsidR="004B074D" w:rsidRDefault="004B074D" w:rsidP="0059266E">
            <w:pPr>
              <w:rPr>
                <w:rFonts w:ascii="Arial" w:hAnsi="Arial"/>
                <w:b/>
                <w:sz w:val="22"/>
              </w:rPr>
            </w:pPr>
          </w:p>
          <w:p w14:paraId="653F8C12" w14:textId="77777777" w:rsidR="004B074D" w:rsidRDefault="004B074D" w:rsidP="0059266E">
            <w:pPr>
              <w:rPr>
                <w:rFonts w:ascii="Arial" w:hAnsi="Arial"/>
                <w:b/>
                <w:sz w:val="22"/>
              </w:rPr>
            </w:pPr>
          </w:p>
          <w:p w14:paraId="51ED8AC5" w14:textId="77777777" w:rsidR="004B074D" w:rsidRPr="004B074D" w:rsidRDefault="004B074D" w:rsidP="0059266E">
            <w:pPr>
              <w:rPr>
                <w:rFonts w:ascii="Arial" w:hAnsi="Arial"/>
                <w:b/>
                <w:sz w:val="32"/>
              </w:rPr>
            </w:pPr>
          </w:p>
          <w:p w14:paraId="20F1878D" w14:textId="77777777" w:rsidR="004B074D" w:rsidRDefault="004B074D" w:rsidP="0059266E">
            <w:pPr>
              <w:rPr>
                <w:rFonts w:ascii="Arial" w:hAnsi="Arial"/>
                <w:b/>
                <w:sz w:val="22"/>
              </w:rPr>
            </w:pPr>
          </w:p>
          <w:p w14:paraId="6CE9F9D9" w14:textId="77777777" w:rsidR="004B074D" w:rsidRDefault="004B074D" w:rsidP="0059266E">
            <w:pPr>
              <w:rPr>
                <w:rFonts w:ascii="Arial" w:hAnsi="Arial"/>
                <w:b/>
                <w:sz w:val="22"/>
              </w:rPr>
            </w:pPr>
          </w:p>
          <w:p w14:paraId="6722DA90" w14:textId="77777777" w:rsidR="004B074D" w:rsidRPr="00D173B0" w:rsidRDefault="004B074D" w:rsidP="0059266E">
            <w:pPr>
              <w:rPr>
                <w:rFonts w:ascii="Arial" w:hAnsi="Arial"/>
                <w:b/>
                <w:sz w:val="18"/>
              </w:rPr>
            </w:pPr>
          </w:p>
          <w:p w14:paraId="3F27B355" w14:textId="77777777" w:rsidR="004B074D" w:rsidRPr="00C245B7" w:rsidRDefault="004B074D" w:rsidP="0059266E">
            <w:pPr>
              <w:rPr>
                <w:rFonts w:ascii="Arial" w:hAnsi="Arial"/>
                <w:sz w:val="22"/>
              </w:rPr>
            </w:pPr>
            <w:r>
              <w:rPr>
                <w:rFonts w:ascii="Arial" w:hAnsi="Arial"/>
                <w:sz w:val="22"/>
              </w:rPr>
              <w:t>K</w:t>
            </w:r>
            <w:r w:rsidRPr="00C245B7">
              <w:rPr>
                <w:rFonts w:ascii="Arial" w:hAnsi="Arial"/>
                <w:sz w:val="22"/>
              </w:rPr>
              <w:t>ronisk toksicitet:</w:t>
            </w:r>
          </w:p>
          <w:p w14:paraId="7117A8BB" w14:textId="77777777" w:rsidR="004B074D" w:rsidRDefault="004B074D" w:rsidP="0059266E">
            <w:pPr>
              <w:rPr>
                <w:rFonts w:ascii="Arial" w:hAnsi="Arial"/>
                <w:b/>
                <w:sz w:val="22"/>
              </w:rPr>
            </w:pPr>
          </w:p>
          <w:p w14:paraId="33B0FA81" w14:textId="77777777" w:rsidR="004B074D" w:rsidRDefault="004B074D" w:rsidP="0059266E">
            <w:pPr>
              <w:rPr>
                <w:rFonts w:ascii="Arial" w:hAnsi="Arial"/>
                <w:b/>
                <w:sz w:val="22"/>
              </w:rPr>
            </w:pPr>
          </w:p>
          <w:p w14:paraId="27870859" w14:textId="77777777" w:rsidR="004B074D" w:rsidRDefault="004B074D" w:rsidP="0059266E">
            <w:pPr>
              <w:rPr>
                <w:rFonts w:ascii="Arial" w:hAnsi="Arial"/>
                <w:b/>
                <w:sz w:val="22"/>
              </w:rPr>
            </w:pPr>
          </w:p>
          <w:p w14:paraId="0257FDE0" w14:textId="77777777" w:rsidR="004B074D" w:rsidRDefault="004B074D" w:rsidP="0059266E">
            <w:pPr>
              <w:rPr>
                <w:rFonts w:ascii="Arial" w:hAnsi="Arial"/>
                <w:b/>
                <w:sz w:val="22"/>
              </w:rPr>
            </w:pPr>
          </w:p>
          <w:p w14:paraId="6217C1E4" w14:textId="04B32F0E" w:rsidR="004B074D" w:rsidRPr="003234B7" w:rsidRDefault="004B074D">
            <w:pPr>
              <w:rPr>
                <w:rFonts w:ascii="Arial" w:hAnsi="Arial"/>
                <w:b/>
                <w:u w:val="single"/>
              </w:rPr>
            </w:pPr>
            <w:r>
              <w:rPr>
                <w:rFonts w:ascii="Arial" w:hAnsi="Arial"/>
                <w:b/>
                <w:sz w:val="22"/>
              </w:rPr>
              <w:t>Risikovurdering</w:t>
            </w:r>
          </w:p>
        </w:tc>
        <w:tc>
          <w:tcPr>
            <w:tcW w:w="4639" w:type="dxa"/>
          </w:tcPr>
          <w:p w14:paraId="6920D3CC" w14:textId="77777777" w:rsidR="004B074D" w:rsidRDefault="004B074D" w:rsidP="0059266E">
            <w:pPr>
              <w:rPr>
                <w:rFonts w:ascii="Arial" w:hAnsi="Arial"/>
                <w:sz w:val="22"/>
              </w:rPr>
            </w:pPr>
          </w:p>
          <w:p w14:paraId="2B6A3449" w14:textId="77777777" w:rsidR="004B074D" w:rsidRDefault="004B074D" w:rsidP="0059266E">
            <w:pPr>
              <w:rPr>
                <w:rFonts w:ascii="Arial" w:hAnsi="Arial"/>
                <w:sz w:val="22"/>
              </w:rPr>
            </w:pPr>
          </w:p>
          <w:p w14:paraId="24649064" w14:textId="77777777" w:rsidR="004B074D" w:rsidRDefault="004B074D" w:rsidP="0059266E">
            <w:pPr>
              <w:rPr>
                <w:rFonts w:ascii="Arial" w:hAnsi="Arial"/>
                <w:sz w:val="22"/>
              </w:rPr>
            </w:pPr>
          </w:p>
          <w:p w14:paraId="410404D3" w14:textId="77777777" w:rsidR="004B074D" w:rsidRDefault="004B074D" w:rsidP="0059266E">
            <w:pPr>
              <w:rPr>
                <w:rFonts w:ascii="Arial" w:hAnsi="Arial"/>
                <w:sz w:val="22"/>
              </w:rPr>
            </w:pPr>
            <w:r>
              <w:rPr>
                <w:rFonts w:ascii="Arial" w:hAnsi="Arial"/>
                <w:sz w:val="22"/>
              </w:rPr>
              <w:t xml:space="preserve">Et stofs toksicitet udtrykker et stofs evne til, i </w:t>
            </w:r>
            <w:r>
              <w:rPr>
                <w:rFonts w:ascii="Arial" w:hAnsi="Arial"/>
                <w:sz w:val="22"/>
              </w:rPr>
              <w:lastRenderedPageBreak/>
              <w:t>en given dosis, at fremkalde en kritisk effekt i organismen. Toksicitet ved akut dosering inddeles på baggrund af LD</w:t>
            </w:r>
            <w:r>
              <w:rPr>
                <w:rFonts w:ascii="Arial" w:hAnsi="Arial"/>
                <w:sz w:val="22"/>
                <w:vertAlign w:val="subscript"/>
              </w:rPr>
              <w:t>50</w:t>
            </w:r>
            <w:r>
              <w:rPr>
                <w:rFonts w:ascii="Arial" w:hAnsi="Arial"/>
                <w:sz w:val="22"/>
              </w:rPr>
              <w:t>-værdier (den dosis der dræber 50% af den doserede population):</w:t>
            </w:r>
          </w:p>
          <w:p w14:paraId="5239EAD8" w14:textId="77777777" w:rsidR="004B074D" w:rsidRPr="00C651D1" w:rsidRDefault="004B074D" w:rsidP="0059266E">
            <w:pPr>
              <w:pStyle w:val="Listeafsnit"/>
              <w:numPr>
                <w:ilvl w:val="0"/>
                <w:numId w:val="5"/>
              </w:numPr>
              <w:rPr>
                <w:rFonts w:ascii="Arial" w:hAnsi="Arial"/>
                <w:sz w:val="22"/>
              </w:rPr>
            </w:pPr>
            <w:r>
              <w:rPr>
                <w:rFonts w:ascii="Arial" w:hAnsi="Arial"/>
                <w:sz w:val="22"/>
              </w:rPr>
              <w:t>M</w:t>
            </w:r>
            <w:r w:rsidRPr="00C651D1">
              <w:rPr>
                <w:rFonts w:ascii="Arial" w:hAnsi="Arial"/>
                <w:sz w:val="22"/>
              </w:rPr>
              <w:t>eget giftige</w:t>
            </w:r>
            <w:r>
              <w:rPr>
                <w:rFonts w:ascii="Arial" w:hAnsi="Arial"/>
                <w:sz w:val="22"/>
              </w:rPr>
              <w:t xml:space="preserve"> (&lt;25)</w:t>
            </w:r>
          </w:p>
          <w:p w14:paraId="12F3324B" w14:textId="77777777" w:rsidR="004B074D" w:rsidRDefault="004B074D" w:rsidP="0059266E">
            <w:pPr>
              <w:pStyle w:val="Listeafsnit"/>
              <w:numPr>
                <w:ilvl w:val="0"/>
                <w:numId w:val="5"/>
              </w:numPr>
              <w:rPr>
                <w:rFonts w:ascii="Arial" w:hAnsi="Arial"/>
                <w:sz w:val="22"/>
              </w:rPr>
            </w:pPr>
            <w:r>
              <w:rPr>
                <w:rFonts w:ascii="Arial" w:hAnsi="Arial"/>
                <w:sz w:val="22"/>
              </w:rPr>
              <w:t>Giftige (&gt;25-200)</w:t>
            </w:r>
          </w:p>
          <w:p w14:paraId="16DD2836" w14:textId="77777777" w:rsidR="004B074D" w:rsidRDefault="004B074D" w:rsidP="0059266E">
            <w:pPr>
              <w:pStyle w:val="Listeafsnit"/>
              <w:numPr>
                <w:ilvl w:val="0"/>
                <w:numId w:val="5"/>
              </w:numPr>
              <w:rPr>
                <w:rFonts w:ascii="Arial" w:hAnsi="Arial"/>
                <w:sz w:val="22"/>
              </w:rPr>
            </w:pPr>
            <w:r>
              <w:rPr>
                <w:rFonts w:ascii="Arial" w:hAnsi="Arial"/>
                <w:sz w:val="22"/>
              </w:rPr>
              <w:t>Sundhedsskadelige (&gt;200-2000)</w:t>
            </w:r>
          </w:p>
          <w:p w14:paraId="3D5C659A" w14:textId="77777777" w:rsidR="004B074D" w:rsidRDefault="004B074D" w:rsidP="0059266E">
            <w:pPr>
              <w:rPr>
                <w:rFonts w:ascii="Arial" w:hAnsi="Arial"/>
                <w:sz w:val="22"/>
              </w:rPr>
            </w:pPr>
          </w:p>
          <w:p w14:paraId="1CB29173" w14:textId="77777777" w:rsidR="004B074D" w:rsidRDefault="004B074D" w:rsidP="0059266E">
            <w:pPr>
              <w:rPr>
                <w:rFonts w:ascii="Arial" w:hAnsi="Arial"/>
                <w:sz w:val="22"/>
              </w:rPr>
            </w:pPr>
            <w:r>
              <w:rPr>
                <w:rFonts w:ascii="Arial" w:hAnsi="Arial"/>
                <w:sz w:val="22"/>
              </w:rPr>
              <w:t xml:space="preserve">Forekommer under eller efter en akut eksponering. Ses normalt kun mens stoffet er til stede i organismen og forsvinder i takt med at stoffet elimineres </w:t>
            </w:r>
            <w:r w:rsidRPr="009806A7">
              <w:rPr>
                <w:rFonts w:ascii="Arial" w:hAnsi="Arial"/>
                <w:sz w:val="22"/>
              </w:rPr>
              <w:sym w:font="Wingdings" w:char="F0E0"/>
            </w:r>
            <w:r>
              <w:rPr>
                <w:rFonts w:ascii="Arial" w:hAnsi="Arial"/>
                <w:sz w:val="22"/>
              </w:rPr>
              <w:t xml:space="preserve"> Reversibel toksisk reaktion. </w:t>
            </w:r>
          </w:p>
          <w:p w14:paraId="0982ADB7" w14:textId="77777777" w:rsidR="004B074D" w:rsidRPr="009806A7" w:rsidRDefault="004B074D" w:rsidP="0059266E">
            <w:pPr>
              <w:rPr>
                <w:rFonts w:ascii="Arial" w:hAnsi="Arial"/>
                <w:sz w:val="22"/>
              </w:rPr>
            </w:pPr>
            <w:r>
              <w:rPr>
                <w:rFonts w:ascii="Arial" w:hAnsi="Arial"/>
                <w:sz w:val="22"/>
              </w:rPr>
              <w:t xml:space="preserve">En massiv akut eksponering kan doge føre til kroniske skader </w:t>
            </w:r>
            <w:r w:rsidRPr="009806A7">
              <w:rPr>
                <w:rFonts w:ascii="Arial" w:hAnsi="Arial"/>
                <w:sz w:val="22"/>
              </w:rPr>
              <w:sym w:font="Wingdings" w:char="F0E0"/>
            </w:r>
            <w:r>
              <w:rPr>
                <w:rFonts w:ascii="Arial" w:hAnsi="Arial"/>
                <w:sz w:val="22"/>
              </w:rPr>
              <w:t xml:space="preserve"> Irreversibel toksisk reaktion som følge af akut eksponering. Fx massiv akut eksponering for NSAID og paracetamol kan følge til kroniske leverskader.</w:t>
            </w:r>
          </w:p>
          <w:p w14:paraId="754EFD26" w14:textId="77777777" w:rsidR="004B074D" w:rsidRDefault="004B074D" w:rsidP="0059266E">
            <w:pPr>
              <w:rPr>
                <w:rFonts w:ascii="Arial" w:hAnsi="Arial"/>
                <w:sz w:val="22"/>
              </w:rPr>
            </w:pPr>
          </w:p>
          <w:p w14:paraId="7252996E" w14:textId="6F2F8A2C" w:rsidR="004B074D" w:rsidRDefault="004B074D" w:rsidP="0059266E">
            <w:pPr>
              <w:rPr>
                <w:rFonts w:ascii="Arial" w:hAnsi="Arial"/>
                <w:sz w:val="22"/>
              </w:rPr>
            </w:pPr>
            <w:r>
              <w:rPr>
                <w:rFonts w:ascii="Arial" w:hAnsi="Arial"/>
                <w:sz w:val="22"/>
              </w:rPr>
              <w:t>Kroniske skader kan skyldes akkumulering af stoffet</w:t>
            </w:r>
            <w:r w:rsidR="000176FF">
              <w:rPr>
                <w:rFonts w:ascii="Arial" w:hAnsi="Arial"/>
                <w:sz w:val="22"/>
              </w:rPr>
              <w:t>s</w:t>
            </w:r>
            <w:r>
              <w:rPr>
                <w:rFonts w:ascii="Arial" w:hAnsi="Arial"/>
                <w:sz w:val="22"/>
              </w:rPr>
              <w:t xml:space="preserve"> ændringer i vævets strukturer eller funktioner opstået under eksponeringen af stoffet. </w:t>
            </w:r>
          </w:p>
          <w:p w14:paraId="65D51043" w14:textId="77777777" w:rsidR="004B074D" w:rsidRDefault="004B074D" w:rsidP="0059266E">
            <w:pPr>
              <w:rPr>
                <w:rFonts w:ascii="Arial" w:hAnsi="Arial"/>
                <w:sz w:val="22"/>
              </w:rPr>
            </w:pPr>
          </w:p>
          <w:p w14:paraId="39DDCB8F" w14:textId="77777777" w:rsidR="004B074D" w:rsidRDefault="004B074D" w:rsidP="0059266E">
            <w:pPr>
              <w:rPr>
                <w:rFonts w:ascii="Arial" w:hAnsi="Arial"/>
                <w:sz w:val="22"/>
              </w:rPr>
            </w:pPr>
            <w:r>
              <w:rPr>
                <w:rFonts w:ascii="Arial" w:hAnsi="Arial"/>
                <w:sz w:val="22"/>
              </w:rPr>
              <w:t>Foretages på baggrund af fareidentifikation (toksicitet), effektvurdering (dosis-effekt), eksponering og risikobeskrivelse.</w:t>
            </w:r>
          </w:p>
          <w:p w14:paraId="44763D17" w14:textId="77777777" w:rsidR="004B074D" w:rsidRDefault="004B074D">
            <w:pPr>
              <w:rPr>
                <w:rFonts w:ascii="Arial" w:hAnsi="Arial"/>
                <w:sz w:val="22"/>
              </w:rPr>
            </w:pPr>
          </w:p>
        </w:tc>
      </w:tr>
    </w:tbl>
    <w:p w14:paraId="31C44D07" w14:textId="13F2F48A" w:rsidR="000C3581" w:rsidRDefault="000C3581"/>
    <w:sectPr w:rsidR="000C3581" w:rsidSect="00BA319B">
      <w:head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827C0" w14:textId="77777777" w:rsidR="00E30C73" w:rsidRDefault="00E30C73" w:rsidP="008E5968">
      <w:r>
        <w:separator/>
      </w:r>
    </w:p>
  </w:endnote>
  <w:endnote w:type="continuationSeparator" w:id="0">
    <w:p w14:paraId="2A89DCB1" w14:textId="77777777" w:rsidR="00E30C73" w:rsidRDefault="00E30C73" w:rsidP="008E5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CA2EA" w14:textId="77777777" w:rsidR="00E30C73" w:rsidRDefault="00E30C73" w:rsidP="008E5968">
      <w:r>
        <w:separator/>
      </w:r>
    </w:p>
  </w:footnote>
  <w:footnote w:type="continuationSeparator" w:id="0">
    <w:p w14:paraId="34F302BF" w14:textId="77777777" w:rsidR="00E30C73" w:rsidRDefault="00E30C73" w:rsidP="008E5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1FE7C" w14:textId="063A287D" w:rsidR="0059266E" w:rsidRPr="008F13F0" w:rsidRDefault="0059266E">
    <w:pPr>
      <w:pStyle w:val="Sidehoved"/>
      <w:rPr>
        <w:rFonts w:ascii="Arial" w:hAnsi="Arial"/>
        <w:sz w:val="22"/>
      </w:rPr>
    </w:pPr>
    <w:r w:rsidRPr="008F13F0">
      <w:rPr>
        <w:rFonts w:ascii="Arial" w:hAnsi="Arial"/>
        <w:sz w:val="22"/>
      </w:rPr>
      <w:t xml:space="preserve">19. Lægemiddel toksikologi og interaktioner - Litteratur: </w:t>
    </w:r>
    <w:r w:rsidRPr="008F13F0">
      <w:rPr>
        <w:rFonts w:ascii="Arial" w:hAnsi="Arial"/>
        <w:i/>
        <w:sz w:val="22"/>
      </w:rPr>
      <w:t>Basal og klinisk farmakologi, 5. udg. 2014, kap</w:t>
    </w:r>
    <w:r>
      <w:rPr>
        <w:rFonts w:ascii="Arial" w:hAnsi="Arial"/>
        <w:i/>
        <w:sz w:val="22"/>
      </w:rPr>
      <w:t xml:space="preserve"> 65,</w:t>
    </w:r>
    <w:r w:rsidRPr="008F13F0">
      <w:rPr>
        <w:rFonts w:ascii="Arial" w:hAnsi="Arial"/>
        <w:i/>
        <w:sz w:val="22"/>
      </w:rPr>
      <w:t xml:space="preserve"> 66, 72 og 75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F3836"/>
    <w:multiLevelType w:val="hybridMultilevel"/>
    <w:tmpl w:val="B28E94E4"/>
    <w:lvl w:ilvl="0" w:tplc="62862736">
      <w:numFmt w:val="bullet"/>
      <w:lvlText w:val="-"/>
      <w:lvlJc w:val="left"/>
      <w:pPr>
        <w:ind w:left="720" w:hanging="360"/>
      </w:pPr>
      <w:rPr>
        <w:rFonts w:ascii="Arial" w:eastAsiaTheme="minorEastAsia"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3D24C0"/>
    <w:multiLevelType w:val="hybridMultilevel"/>
    <w:tmpl w:val="9ACAD770"/>
    <w:lvl w:ilvl="0" w:tplc="69E62176">
      <w:start w:val="19"/>
      <w:numFmt w:val="bullet"/>
      <w:lvlText w:val="-"/>
      <w:lvlJc w:val="left"/>
      <w:pPr>
        <w:ind w:left="720" w:hanging="360"/>
      </w:pPr>
      <w:rPr>
        <w:rFonts w:ascii="Arial" w:eastAsiaTheme="minorEastAsia"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25A0D"/>
    <w:multiLevelType w:val="hybridMultilevel"/>
    <w:tmpl w:val="CDC8308A"/>
    <w:lvl w:ilvl="0" w:tplc="69E62176">
      <w:start w:val="19"/>
      <w:numFmt w:val="bullet"/>
      <w:lvlText w:val="-"/>
      <w:lvlJc w:val="left"/>
      <w:pPr>
        <w:ind w:left="720" w:hanging="360"/>
      </w:pPr>
      <w:rPr>
        <w:rFonts w:ascii="Arial" w:eastAsiaTheme="minorEastAsia"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127731"/>
    <w:multiLevelType w:val="hybridMultilevel"/>
    <w:tmpl w:val="F42CC598"/>
    <w:lvl w:ilvl="0" w:tplc="69E62176">
      <w:start w:val="19"/>
      <w:numFmt w:val="bullet"/>
      <w:lvlText w:val="-"/>
      <w:lvlJc w:val="left"/>
      <w:pPr>
        <w:ind w:left="720" w:hanging="360"/>
      </w:pPr>
      <w:rPr>
        <w:rFonts w:ascii="Arial" w:eastAsiaTheme="minorEastAsia"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4A0D5D"/>
    <w:multiLevelType w:val="hybridMultilevel"/>
    <w:tmpl w:val="02D4014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A934D2E"/>
    <w:multiLevelType w:val="hybridMultilevel"/>
    <w:tmpl w:val="3898874A"/>
    <w:lvl w:ilvl="0" w:tplc="04060001">
      <w:start w:val="1"/>
      <w:numFmt w:val="bullet"/>
      <w:lvlText w:val=""/>
      <w:lvlJc w:val="left"/>
      <w:pPr>
        <w:ind w:left="180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6" w15:restartNumberingAfterBreak="0">
    <w:nsid w:val="4F036B2E"/>
    <w:multiLevelType w:val="hybridMultilevel"/>
    <w:tmpl w:val="3552F152"/>
    <w:lvl w:ilvl="0" w:tplc="69E62176">
      <w:start w:val="19"/>
      <w:numFmt w:val="bullet"/>
      <w:lvlText w:val="-"/>
      <w:lvlJc w:val="left"/>
      <w:pPr>
        <w:ind w:left="1440" w:hanging="360"/>
      </w:pPr>
      <w:rPr>
        <w:rFonts w:ascii="Arial" w:eastAsiaTheme="minorEastAsia" w:hAnsi="Arial"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3404A31"/>
    <w:multiLevelType w:val="hybridMultilevel"/>
    <w:tmpl w:val="BAA03CA2"/>
    <w:lvl w:ilvl="0" w:tplc="DCFC560E">
      <w:start w:val="19"/>
      <w:numFmt w:val="bullet"/>
      <w:lvlText w:val="-"/>
      <w:lvlJc w:val="left"/>
      <w:pPr>
        <w:ind w:left="720" w:hanging="360"/>
      </w:pPr>
      <w:rPr>
        <w:rFonts w:ascii="Arial" w:eastAsiaTheme="minorEastAsia"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2"/>
  </w:num>
  <w:num w:numId="5">
    <w:abstractNumId w:val="1"/>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68"/>
    <w:rsid w:val="000176FF"/>
    <w:rsid w:val="00041D10"/>
    <w:rsid w:val="000625E9"/>
    <w:rsid w:val="000C3581"/>
    <w:rsid w:val="00112DCD"/>
    <w:rsid w:val="00126B66"/>
    <w:rsid w:val="00231E39"/>
    <w:rsid w:val="00301299"/>
    <w:rsid w:val="003234B7"/>
    <w:rsid w:val="00331C53"/>
    <w:rsid w:val="003C5BCB"/>
    <w:rsid w:val="00446C91"/>
    <w:rsid w:val="004A0D5C"/>
    <w:rsid w:val="004B074D"/>
    <w:rsid w:val="00585776"/>
    <w:rsid w:val="0059266E"/>
    <w:rsid w:val="005E32F8"/>
    <w:rsid w:val="00666170"/>
    <w:rsid w:val="006B18FD"/>
    <w:rsid w:val="006C12C4"/>
    <w:rsid w:val="006D1587"/>
    <w:rsid w:val="007077B4"/>
    <w:rsid w:val="0076623F"/>
    <w:rsid w:val="007845C1"/>
    <w:rsid w:val="0078585A"/>
    <w:rsid w:val="007D44AE"/>
    <w:rsid w:val="007D4C8A"/>
    <w:rsid w:val="00835401"/>
    <w:rsid w:val="0085357C"/>
    <w:rsid w:val="008B5DA6"/>
    <w:rsid w:val="008E5968"/>
    <w:rsid w:val="008F13F0"/>
    <w:rsid w:val="009806A7"/>
    <w:rsid w:val="00983ED9"/>
    <w:rsid w:val="00987E5E"/>
    <w:rsid w:val="009E5238"/>
    <w:rsid w:val="00A11492"/>
    <w:rsid w:val="00A32E1E"/>
    <w:rsid w:val="00A6652E"/>
    <w:rsid w:val="00A66845"/>
    <w:rsid w:val="00B35925"/>
    <w:rsid w:val="00B628E3"/>
    <w:rsid w:val="00B6668D"/>
    <w:rsid w:val="00BA1D72"/>
    <w:rsid w:val="00BA319B"/>
    <w:rsid w:val="00BE71C9"/>
    <w:rsid w:val="00C245B7"/>
    <w:rsid w:val="00C651D1"/>
    <w:rsid w:val="00C74D63"/>
    <w:rsid w:val="00C7763E"/>
    <w:rsid w:val="00D173B0"/>
    <w:rsid w:val="00D9246A"/>
    <w:rsid w:val="00DA38D2"/>
    <w:rsid w:val="00E30C73"/>
    <w:rsid w:val="00E61281"/>
    <w:rsid w:val="00E677A9"/>
    <w:rsid w:val="00EE0680"/>
    <w:rsid w:val="00F228DB"/>
    <w:rsid w:val="00F24052"/>
    <w:rsid w:val="00F273C8"/>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F45F1"/>
  <w14:defaultImageDpi w14:val="300"/>
  <w15:docId w15:val="{658F1BA9-0763-4B43-87F0-1DA9EB56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E5968"/>
    <w:pPr>
      <w:tabs>
        <w:tab w:val="center" w:pos="4153"/>
        <w:tab w:val="right" w:pos="8306"/>
      </w:tabs>
    </w:pPr>
  </w:style>
  <w:style w:type="character" w:customStyle="1" w:styleId="SidehovedTegn">
    <w:name w:val="Sidehoved Tegn"/>
    <w:basedOn w:val="Standardskrifttypeiafsnit"/>
    <w:link w:val="Sidehoved"/>
    <w:uiPriority w:val="99"/>
    <w:rsid w:val="008E5968"/>
  </w:style>
  <w:style w:type="paragraph" w:styleId="Sidefod">
    <w:name w:val="footer"/>
    <w:basedOn w:val="Normal"/>
    <w:link w:val="SidefodTegn"/>
    <w:uiPriority w:val="99"/>
    <w:unhideWhenUsed/>
    <w:rsid w:val="008E5968"/>
    <w:pPr>
      <w:tabs>
        <w:tab w:val="center" w:pos="4153"/>
        <w:tab w:val="right" w:pos="8306"/>
      </w:tabs>
    </w:pPr>
  </w:style>
  <w:style w:type="character" w:customStyle="1" w:styleId="SidefodTegn">
    <w:name w:val="Sidefod Tegn"/>
    <w:basedOn w:val="Standardskrifttypeiafsnit"/>
    <w:link w:val="Sidefod"/>
    <w:uiPriority w:val="99"/>
    <w:rsid w:val="008E5968"/>
  </w:style>
  <w:style w:type="table" w:styleId="Tabel-Gitter">
    <w:name w:val="Table Grid"/>
    <w:basedOn w:val="Tabel-Normal"/>
    <w:uiPriority w:val="59"/>
    <w:rsid w:val="008F1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9E5238"/>
    <w:pPr>
      <w:ind w:left="720"/>
      <w:contextualSpacing/>
    </w:pPr>
  </w:style>
  <w:style w:type="character" w:styleId="Hyperlink">
    <w:name w:val="Hyperlink"/>
    <w:basedOn w:val="Standardskrifttypeiafsnit"/>
    <w:uiPriority w:val="99"/>
    <w:unhideWhenUsed/>
    <w:rsid w:val="006B18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aktionsdatabasen.dk" TargetMode="External"/><Relationship Id="rId3" Type="http://schemas.openxmlformats.org/officeDocument/2006/relationships/settings" Target="settings.xml"/><Relationship Id="rId7" Type="http://schemas.openxmlformats.org/officeDocument/2006/relationships/hyperlink" Target="http://www.pro.medicin.d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5291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Morten andersen</cp:lastModifiedBy>
  <cp:revision>2</cp:revision>
  <dcterms:created xsi:type="dcterms:W3CDTF">2017-12-17T16:12:00Z</dcterms:created>
  <dcterms:modified xsi:type="dcterms:W3CDTF">2017-12-17T16:12:00Z</dcterms:modified>
</cp:coreProperties>
</file>