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D3B66" w:rsidRPr="00E15979" w:rsidRDefault="003F0CD4" w:rsidP="00EB060F">
      <w:pPr>
        <w:rPr>
          <w:rFonts w:cstheme="minorHAnsi"/>
          <w:szCs w:val="24"/>
        </w:rPr>
      </w:pPr>
      <w:r w:rsidRPr="00E15979">
        <w:rPr>
          <w:rFonts w:cstheme="minorHAnsi"/>
          <w:noProof/>
          <w:sz w:val="28"/>
          <w:szCs w:val="24"/>
          <w:lang w:val="en-US"/>
        </w:rPr>
        <mc:AlternateContent>
          <mc:Choice Requires="wps">
            <w:drawing>
              <wp:anchor distT="45720" distB="45720" distL="114300" distR="114300" simplePos="0" relativeHeight="251659264" behindDoc="0" locked="0" layoutInCell="1" allowOverlap="1">
                <wp:simplePos x="0" y="0"/>
                <wp:positionH relativeFrom="column">
                  <wp:posOffset>238760</wp:posOffset>
                </wp:positionH>
                <wp:positionV relativeFrom="paragraph">
                  <wp:posOffset>182880</wp:posOffset>
                </wp:positionV>
                <wp:extent cx="5549900" cy="1404620"/>
                <wp:effectExtent l="57150" t="38100" r="50800" b="67310"/>
                <wp:wrapSquare wrapText="bothSides"/>
                <wp:docPr id="217"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9900" cy="1404620"/>
                        </a:xfrm>
                        <a:prstGeom prst="rect">
                          <a:avLst/>
                        </a:prstGeom>
                        <a:ln>
                          <a:headEnd/>
                          <a:tailEnd/>
                        </a:ln>
                      </wps:spPr>
                      <wps:style>
                        <a:lnRef idx="0">
                          <a:schemeClr val="accent1"/>
                        </a:lnRef>
                        <a:fillRef idx="3">
                          <a:schemeClr val="accent1"/>
                        </a:fillRef>
                        <a:effectRef idx="3">
                          <a:schemeClr val="accent1"/>
                        </a:effectRef>
                        <a:fontRef idx="minor">
                          <a:schemeClr val="lt1"/>
                        </a:fontRef>
                      </wps:style>
                      <wps:txbx>
                        <w:txbxContent>
                          <w:p w:rsidR="003F0CD4" w:rsidRPr="00EB060F" w:rsidRDefault="00EB060F" w:rsidP="00EB060F">
                            <w:pPr>
                              <w:jc w:val="center"/>
                              <w:rPr>
                                <w:b/>
                                <w:outline/>
                                <w:color w:val="5B9BD5" w:themeColor="accent5"/>
                                <w:sz w:val="24"/>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pPr>
                            <w:r>
                              <w:rPr>
                                <w:b/>
                                <w:outline/>
                                <w:color w:val="5B9BD5" w:themeColor="accent5"/>
                                <w:sz w:val="36"/>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t>Almen farmakologi</w:t>
                            </w:r>
                            <w:r>
                              <w:rPr>
                                <w:b/>
                                <w:outline/>
                                <w:color w:val="5B9BD5" w:themeColor="accent5"/>
                                <w:sz w:val="36"/>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br/>
                            </w:r>
                            <w:r w:rsidR="00046286">
                              <w:rPr>
                                <w:b/>
                                <w:outline/>
                                <w:color w:val="5B9BD5" w:themeColor="accent5"/>
                                <w:sz w:val="24"/>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t xml:space="preserve">- </w:t>
                            </w:r>
                            <w:r w:rsidR="00941C62">
                              <w:rPr>
                                <w:b/>
                                <w:outline/>
                                <w:color w:val="5B9BD5" w:themeColor="accent5"/>
                                <w:sz w:val="24"/>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t>I</w:t>
                            </w:r>
                            <w:r>
                              <w:rPr>
                                <w:b/>
                                <w:outline/>
                                <w:color w:val="5B9BD5" w:themeColor="accent5"/>
                                <w:sz w:val="24"/>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t>ntroduktion til farmakodynamik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kstfelt 2" o:spid="_x0000_s1026" type="#_x0000_t202" style="position:absolute;margin-left:18.8pt;margin-top:14.4pt;width:437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ZdRQIAAMMEAAAOAAAAZHJzL2Uyb0RvYy54bWysVNtu2zAMfR+wfxD0vjjJknYx4hRdug4D&#10;ugvW7gMUmYqNyqImqbGzrx8lO16wy8OGvQiSSB4d8pBaX3WNZgdwvkZT8NlkyhkYiWVt9gX/8nD7&#10;4hVnPghTCo0GCn4Ez682z5+tW5vDHCvUJThGIMbnrS14FYLNs8zLChrhJ2jBkFGha0Sgo9tnpRMt&#10;oTc6m0+nF1mLrrQOJXhPtze9kW8SvlIgw0elPASmC07cQlpdWndxzTZrke+dsFUtBxriH1g0ojb0&#10;6Ah1I4JgT67+BaqppUOPKkwkNhkqVUtIOVA2s+lP2dxXwkLKhYrj7Vgm//9g5YfDJ8fqsuDz2SVn&#10;RjQk0gM8+qBABzaPBWqtz8nv3pJn6F5jR0KnZL29Q/nomcFtJcwerp3DtgJREsFZjMzOQnscH0F2&#10;7Xss6R3xFDABdco1sXpUD0boJNRxFAe6wCRdLpeL1WpKJkm22WK6uJgn+TKRn8Kt8+EtYMPipuCO&#10;1E/w4nDnQ6Qj8pNLfE2buEa+b0yZGiGIWvd7co3mlEDkPLAPRw196GdQVLZENl6khoWtduwgqNWE&#10;lGBCX4OIRN7RS9Vaj4Ev+xrGTv9T4OAfQyE1898EjxHpZTRhDG5qg+53r+uRsur9TxXo845qhm7X&#10;DT2xw/JIajrsp4p+AdpU6L5x1tJEFdx/fRIOONPvDHXEarZYxBFMh8XykuRj7tyyO7cIIwmq4IGz&#10;frsNaWxTse01dc5tnTSNpHomA1malCT1MNVxFM/PyevH37P5DgAA//8DAFBLAwQUAAYACAAAACEA&#10;X4Xa598AAAAJAQAADwAAAGRycy9kb3ducmV2LnhtbEyPwW7CMBBE75X6D9ZW4lIVOyBoSOMgVIHU&#10;W1vaDzDxkkTE6yh2IPD13Z7a486MZt/k69G14ox9aDxpSKYKBFLpbUOVhu+v3VMKIkRD1rSeUMMV&#10;A6yL+7vcZNZf6BPP+1gJLqGQGQ11jF0mZShrdCZMfYfE3tH3zkQ++0ra3ly43LVyptRSOtMQf6hN&#10;h681lqf94DR8qKMbmqR7XKXj23taDqfbZrHVevIwbl5ARBzjXxh+8RkdCmY6+IFsEK2G+fOSkxpm&#10;KS9gf5UkLBxYWCgFssjl/wXFDwAAAP//AwBQSwECLQAUAAYACAAAACEAtoM4kv4AAADhAQAAEwAA&#10;AAAAAAAAAAAAAAAAAAAAW0NvbnRlbnRfVHlwZXNdLnhtbFBLAQItABQABgAIAAAAIQA4/SH/1gAA&#10;AJQBAAALAAAAAAAAAAAAAAAAAC8BAABfcmVscy8ucmVsc1BLAQItABQABgAIAAAAIQA8P/ZdRQIA&#10;AMMEAAAOAAAAAAAAAAAAAAAAAC4CAABkcnMvZTJvRG9jLnhtbFBLAQItABQABgAIAAAAIQBfhdrn&#10;3wAAAAkBAAAPAAAAAAAAAAAAAAAAAJ8EAABkcnMvZG93bnJldi54bWxQSwUGAAAAAAQABADzAAAA&#10;qwUAAAAA&#10;" fillcolor="#4f7ac7 [3028]" stroked="f">
                <v:fill color2="#416fc3 [3172]" rotate="t" colors="0 #6083cb;.5 #3e70ca;1 #2e61ba" focus="100%" type="gradient">
                  <o:fill v:ext="view" type="gradientUnscaled"/>
                </v:fill>
                <v:shadow on="t" color="black" opacity="41287f" offset="0,1.5pt"/>
                <v:textbox style="mso-fit-shape-to-text:t">
                  <w:txbxContent>
                    <w:p w:rsidR="003F0CD4" w:rsidRPr="00EB060F" w:rsidRDefault="00EB060F" w:rsidP="00EB060F">
                      <w:pPr>
                        <w:jc w:val="center"/>
                        <w:rPr>
                          <w:b/>
                          <w:outline/>
                          <w:color w:val="5B9BD5" w:themeColor="accent5"/>
                          <w:sz w:val="24"/>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pPr>
                      <w:r>
                        <w:rPr>
                          <w:b/>
                          <w:outline/>
                          <w:color w:val="5B9BD5" w:themeColor="accent5"/>
                          <w:sz w:val="36"/>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t>Almen farmakologi</w:t>
                      </w:r>
                      <w:r>
                        <w:rPr>
                          <w:b/>
                          <w:outline/>
                          <w:color w:val="5B9BD5" w:themeColor="accent5"/>
                          <w:sz w:val="36"/>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br/>
                      </w:r>
                      <w:r w:rsidR="00046286">
                        <w:rPr>
                          <w:b/>
                          <w:outline/>
                          <w:color w:val="5B9BD5" w:themeColor="accent5"/>
                          <w:sz w:val="24"/>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t xml:space="preserve">- </w:t>
                      </w:r>
                      <w:r w:rsidR="00941C62">
                        <w:rPr>
                          <w:b/>
                          <w:outline/>
                          <w:color w:val="5B9BD5" w:themeColor="accent5"/>
                          <w:sz w:val="24"/>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t>I</w:t>
                      </w:r>
                      <w:r>
                        <w:rPr>
                          <w:b/>
                          <w:outline/>
                          <w:color w:val="5B9BD5" w:themeColor="accent5"/>
                          <w:sz w:val="24"/>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t>ntroduktion til farmakodynamik</w:t>
                      </w:r>
                    </w:p>
                  </w:txbxContent>
                </v:textbox>
                <w10:wrap type="square"/>
              </v:shape>
            </w:pict>
          </mc:Fallback>
        </mc:AlternateContent>
      </w:r>
      <w:r w:rsidR="00654146">
        <w:rPr>
          <w:rFonts w:cstheme="minorHAnsi"/>
          <w:b/>
          <w:color w:val="0070C0"/>
          <w:sz w:val="28"/>
          <w:szCs w:val="24"/>
        </w:rPr>
        <w:t>ALMEN FARMAKOLOGI</w:t>
      </w:r>
      <w:r w:rsidR="00EB060F" w:rsidRPr="00E15979">
        <w:rPr>
          <w:rFonts w:cstheme="minorHAnsi"/>
          <w:b/>
          <w:color w:val="0070C0"/>
          <w:szCs w:val="24"/>
        </w:rPr>
        <w:br/>
      </w:r>
      <w:r w:rsidR="00EB060F" w:rsidRPr="00E15979">
        <w:rPr>
          <w:rFonts w:cstheme="minorHAnsi"/>
          <w:szCs w:val="24"/>
        </w:rPr>
        <w:t>Samspil mellem lægemiddel og den levende organisme</w:t>
      </w:r>
      <w:r w:rsidR="00353AEF" w:rsidRPr="00E15979">
        <w:rPr>
          <w:rFonts w:cstheme="minorHAnsi"/>
          <w:szCs w:val="24"/>
        </w:rPr>
        <w:t xml:space="preserve"> (hvad enten rask eller syg). </w:t>
      </w:r>
    </w:p>
    <w:p w:rsidR="00E15979" w:rsidRPr="00654146" w:rsidRDefault="00EB060F" w:rsidP="00E15979">
      <w:pPr>
        <w:pStyle w:val="NormalWeb"/>
        <w:spacing w:before="0" w:beforeAutospacing="0" w:after="0" w:afterAutospacing="0"/>
        <w:rPr>
          <w:rFonts w:asciiTheme="minorHAnsi" w:hAnsiTheme="minorHAnsi" w:cstheme="minorHAnsi"/>
          <w:sz w:val="22"/>
        </w:rPr>
      </w:pPr>
      <w:r w:rsidRPr="00E15979">
        <w:rPr>
          <w:rFonts w:asciiTheme="minorHAnsi" w:hAnsiTheme="minorHAnsi" w:cstheme="minorHAnsi"/>
          <w:b/>
          <w:color w:val="0070C0"/>
          <w:sz w:val="28"/>
        </w:rPr>
        <w:t>F</w:t>
      </w:r>
      <w:r w:rsidR="00654146">
        <w:rPr>
          <w:rFonts w:asciiTheme="minorHAnsi" w:hAnsiTheme="minorHAnsi" w:cstheme="minorHAnsi"/>
          <w:b/>
          <w:color w:val="0070C0"/>
          <w:sz w:val="28"/>
        </w:rPr>
        <w:t>ARMAKODYNAMIK</w:t>
      </w:r>
      <w:r w:rsidRPr="00E15979">
        <w:rPr>
          <w:rFonts w:asciiTheme="minorHAnsi" w:hAnsiTheme="minorHAnsi" w:cstheme="minorHAnsi"/>
          <w:b/>
          <w:color w:val="0070C0"/>
          <w:sz w:val="22"/>
        </w:rPr>
        <w:br/>
      </w:r>
      <w:r w:rsidR="00E15979">
        <w:rPr>
          <w:rFonts w:asciiTheme="minorHAnsi" w:hAnsiTheme="minorHAnsi" w:cstheme="minorHAnsi"/>
          <w:sz w:val="22"/>
        </w:rPr>
        <w:t xml:space="preserve">Farmakodynamik beskriver forholdet </w:t>
      </w:r>
      <w:r w:rsidRPr="00E15979">
        <w:rPr>
          <w:rFonts w:asciiTheme="minorHAnsi" w:hAnsiTheme="minorHAnsi" w:cstheme="minorHAnsi"/>
          <w:sz w:val="22"/>
        </w:rPr>
        <w:t xml:space="preserve">mellem lægemiddeldosis og </w:t>
      </w:r>
      <w:r w:rsidR="00E15979">
        <w:rPr>
          <w:rFonts w:asciiTheme="minorHAnsi" w:hAnsiTheme="minorHAnsi" w:cstheme="minorHAnsi"/>
          <w:sz w:val="22"/>
        </w:rPr>
        <w:t xml:space="preserve">tilhørende </w:t>
      </w:r>
      <w:r w:rsidRPr="00E15979">
        <w:rPr>
          <w:rFonts w:asciiTheme="minorHAnsi" w:hAnsiTheme="minorHAnsi" w:cstheme="minorHAnsi"/>
          <w:sz w:val="22"/>
        </w:rPr>
        <w:t>farmakologisk</w:t>
      </w:r>
      <w:r w:rsidR="00E15979">
        <w:rPr>
          <w:rFonts w:asciiTheme="minorHAnsi" w:hAnsiTheme="minorHAnsi" w:cstheme="minorHAnsi"/>
          <w:sz w:val="22"/>
        </w:rPr>
        <w:t>e (medicinske)</w:t>
      </w:r>
      <w:r w:rsidRPr="00E15979">
        <w:rPr>
          <w:rFonts w:asciiTheme="minorHAnsi" w:hAnsiTheme="minorHAnsi" w:cstheme="minorHAnsi"/>
          <w:sz w:val="22"/>
        </w:rPr>
        <w:t xml:space="preserve"> effekt. </w:t>
      </w:r>
      <w:r w:rsidR="00353AEF" w:rsidRPr="00E15979">
        <w:rPr>
          <w:rFonts w:asciiTheme="minorHAnsi" w:hAnsiTheme="minorHAnsi" w:cstheme="minorHAnsi"/>
          <w:sz w:val="22"/>
        </w:rPr>
        <w:t>Farmakodynamik handler altså om hvad lægemidlet gør ved kroppen – farmakokinetik</w:t>
      </w:r>
      <w:r w:rsidR="00E15979">
        <w:rPr>
          <w:rFonts w:asciiTheme="minorHAnsi" w:hAnsiTheme="minorHAnsi" w:cstheme="minorHAnsi"/>
          <w:sz w:val="22"/>
        </w:rPr>
        <w:t>, mere herom senere,</w:t>
      </w:r>
      <w:r w:rsidR="00353AEF" w:rsidRPr="00E15979">
        <w:rPr>
          <w:rFonts w:asciiTheme="minorHAnsi" w:hAnsiTheme="minorHAnsi" w:cstheme="minorHAnsi"/>
          <w:sz w:val="22"/>
        </w:rPr>
        <w:t xml:space="preserve"> handler</w:t>
      </w:r>
      <w:r w:rsidR="00E15979">
        <w:rPr>
          <w:rFonts w:asciiTheme="minorHAnsi" w:hAnsiTheme="minorHAnsi" w:cstheme="minorHAnsi"/>
          <w:sz w:val="22"/>
        </w:rPr>
        <w:t xml:space="preserve"> derimod</w:t>
      </w:r>
      <w:r w:rsidR="00353AEF" w:rsidRPr="00E15979">
        <w:rPr>
          <w:rFonts w:asciiTheme="minorHAnsi" w:hAnsiTheme="minorHAnsi" w:cstheme="minorHAnsi"/>
          <w:sz w:val="22"/>
        </w:rPr>
        <w:t xml:space="preserve"> om hvad kroppen gør ved lægemidlet. </w:t>
      </w:r>
      <w:r w:rsidR="00654146">
        <w:rPr>
          <w:rFonts w:asciiTheme="minorHAnsi" w:hAnsiTheme="minorHAnsi" w:cstheme="minorHAnsi"/>
          <w:sz w:val="22"/>
        </w:rPr>
        <w:br/>
      </w:r>
      <w:r w:rsidR="00654146" w:rsidRPr="00654146">
        <w:rPr>
          <w:rFonts w:asciiTheme="minorHAnsi" w:hAnsiTheme="minorHAnsi" w:cstheme="minorHAnsi"/>
        </w:rPr>
        <w:br/>
      </w:r>
      <w:r w:rsidR="00654146" w:rsidRPr="00654146">
        <w:rPr>
          <w:rFonts w:asciiTheme="minorHAnsi" w:hAnsiTheme="minorHAnsi" w:cstheme="minorHAnsi"/>
          <w:b/>
          <w:color w:val="0070C0"/>
          <w:sz w:val="28"/>
        </w:rPr>
        <w:t>Stof-receptor-interaktioner</w:t>
      </w:r>
      <w:r w:rsidR="005E6394" w:rsidRPr="00E15979">
        <w:rPr>
          <w:rFonts w:asciiTheme="minorHAnsi" w:hAnsiTheme="minorHAnsi" w:cstheme="minorHAnsi"/>
          <w:sz w:val="22"/>
        </w:rPr>
        <w:br/>
      </w:r>
      <w:r w:rsidR="00E15979" w:rsidRPr="00E15979">
        <w:rPr>
          <w:rFonts w:asciiTheme="minorHAnsi" w:hAnsiTheme="minorHAnsi" w:cstheme="minorHAnsi"/>
          <w:b/>
          <w:bCs/>
          <w:sz w:val="22"/>
        </w:rPr>
        <w:t xml:space="preserve">Lægemiddeltargets </w:t>
      </w:r>
      <w:r w:rsidR="00E15979" w:rsidRPr="00E15979">
        <w:rPr>
          <w:rFonts w:asciiTheme="minorHAnsi" w:hAnsiTheme="minorHAnsi" w:cstheme="minorHAnsi"/>
          <w:b/>
          <w:bCs/>
          <w:sz w:val="22"/>
        </w:rPr>
        <w:br/>
      </w:r>
      <w:r w:rsidR="00E15979" w:rsidRPr="00E15979">
        <w:rPr>
          <w:rFonts w:asciiTheme="minorHAnsi" w:hAnsiTheme="minorHAnsi" w:cstheme="minorHAnsi"/>
          <w:sz w:val="22"/>
        </w:rPr>
        <w:t xml:space="preserve">Lægemidler virker ved at binde til targetmolekyler på cellemembraner eller i opløsning. </w:t>
      </w:r>
      <w:r w:rsidR="00E15979" w:rsidRPr="00654146">
        <w:rPr>
          <w:rFonts w:asciiTheme="minorHAnsi" w:hAnsiTheme="minorHAnsi" w:cstheme="minorHAnsi"/>
          <w:sz w:val="22"/>
        </w:rPr>
        <w:t>Disse omfatter:</w:t>
      </w:r>
      <w:r w:rsidR="00E15979" w:rsidRPr="00654146">
        <w:rPr>
          <w:rFonts w:asciiTheme="minorHAnsi" w:hAnsiTheme="minorHAnsi" w:cstheme="minorHAnsi"/>
          <w:sz w:val="22"/>
        </w:rPr>
        <w:br/>
        <w:t> </w:t>
      </w:r>
    </w:p>
    <w:p w:rsidR="00E15979" w:rsidRPr="00E15979" w:rsidRDefault="00E15979" w:rsidP="00E15979">
      <w:pPr>
        <w:numPr>
          <w:ilvl w:val="0"/>
          <w:numId w:val="5"/>
        </w:numPr>
        <w:spacing w:after="0" w:line="240" w:lineRule="auto"/>
        <w:ind w:left="540"/>
        <w:textAlignment w:val="center"/>
        <w:rPr>
          <w:rFonts w:eastAsia="Times New Roman" w:cstheme="minorHAnsi"/>
          <w:szCs w:val="24"/>
          <w:u w:val="single"/>
          <w:lang w:eastAsia="da-DK"/>
        </w:rPr>
      </w:pPr>
      <w:r w:rsidRPr="00E15979">
        <w:rPr>
          <w:rFonts w:eastAsia="Times New Roman" w:cstheme="minorHAnsi"/>
          <w:bCs/>
          <w:szCs w:val="24"/>
          <w:u w:val="single"/>
          <w:lang w:eastAsia="da-DK"/>
        </w:rPr>
        <w:t>Receptorer</w:t>
      </w:r>
      <w:r w:rsidRPr="00E15979">
        <w:rPr>
          <w:u w:val="single"/>
        </w:rPr>
        <w:t xml:space="preserve"> (vigtigste)</w:t>
      </w:r>
      <w:r w:rsidRPr="00E15979">
        <w:rPr>
          <w:rFonts w:eastAsia="Times New Roman" w:cstheme="minorHAnsi"/>
          <w:bCs/>
          <w:szCs w:val="24"/>
          <w:u w:val="single"/>
          <w:lang w:eastAsia="da-DK"/>
        </w:rPr>
        <w:br/>
      </w:r>
      <w:r w:rsidRPr="00E15979">
        <w:rPr>
          <w:rFonts w:eastAsia="Times New Roman" w:cstheme="minorHAnsi"/>
          <w:bCs/>
          <w:szCs w:val="24"/>
          <w:lang w:eastAsia="da-DK"/>
        </w:rPr>
        <w:t xml:space="preserve">F.eks. G-protein-koblede receptorer </w:t>
      </w:r>
    </w:p>
    <w:p w:rsidR="00E15979" w:rsidRPr="00E15979" w:rsidRDefault="00E15979" w:rsidP="00E15979">
      <w:pPr>
        <w:numPr>
          <w:ilvl w:val="0"/>
          <w:numId w:val="5"/>
        </w:numPr>
        <w:spacing w:after="0" w:line="240" w:lineRule="auto"/>
        <w:ind w:left="540"/>
        <w:textAlignment w:val="center"/>
        <w:rPr>
          <w:rFonts w:eastAsia="Times New Roman" w:cstheme="minorHAnsi"/>
          <w:bCs/>
          <w:szCs w:val="24"/>
          <w:lang w:eastAsia="da-DK"/>
        </w:rPr>
      </w:pPr>
      <w:r w:rsidRPr="00E15979">
        <w:rPr>
          <w:rFonts w:eastAsia="Times New Roman" w:cstheme="minorHAnsi"/>
          <w:bCs/>
          <w:szCs w:val="24"/>
          <w:u w:val="single"/>
          <w:lang w:eastAsia="da-DK"/>
        </w:rPr>
        <w:t>Ionkanaler</w:t>
      </w:r>
      <w:r w:rsidRPr="00E15979">
        <w:rPr>
          <w:rFonts w:eastAsia="Times New Roman" w:cstheme="minorHAnsi"/>
          <w:bCs/>
          <w:szCs w:val="24"/>
          <w:u w:val="single"/>
          <w:lang w:eastAsia="da-DK"/>
        </w:rPr>
        <w:br/>
      </w:r>
      <w:r w:rsidRPr="00E15979">
        <w:rPr>
          <w:rFonts w:eastAsia="Times New Roman" w:cstheme="minorHAnsi"/>
          <w:bCs/>
          <w:szCs w:val="24"/>
          <w:lang w:eastAsia="da-DK"/>
        </w:rPr>
        <w:t>F.eks. spændingsafhængige n</w:t>
      </w:r>
      <w:r>
        <w:rPr>
          <w:rFonts w:eastAsia="Times New Roman" w:cstheme="minorHAnsi"/>
          <w:bCs/>
          <w:szCs w:val="24"/>
          <w:lang w:eastAsia="da-DK"/>
        </w:rPr>
        <w:t>atriumkanaler</w:t>
      </w:r>
    </w:p>
    <w:p w:rsidR="00E15979" w:rsidRPr="00E15979" w:rsidRDefault="00E15979" w:rsidP="00E15979">
      <w:pPr>
        <w:numPr>
          <w:ilvl w:val="0"/>
          <w:numId w:val="5"/>
        </w:numPr>
        <w:spacing w:after="0" w:line="240" w:lineRule="auto"/>
        <w:ind w:left="540"/>
        <w:textAlignment w:val="center"/>
        <w:rPr>
          <w:rFonts w:eastAsia="Times New Roman" w:cstheme="minorHAnsi"/>
          <w:szCs w:val="24"/>
          <w:u w:val="single"/>
          <w:lang w:val="en-US" w:eastAsia="da-DK"/>
        </w:rPr>
      </w:pPr>
      <w:r w:rsidRPr="00E15979">
        <w:rPr>
          <w:rFonts w:eastAsia="Times New Roman" w:cstheme="minorHAnsi"/>
          <w:bCs/>
          <w:szCs w:val="24"/>
          <w:u w:val="single"/>
          <w:lang w:val="en-US" w:eastAsia="da-DK"/>
        </w:rPr>
        <w:t>Membrantransportører</w:t>
      </w:r>
      <w:r>
        <w:rPr>
          <w:rFonts w:eastAsia="Times New Roman" w:cstheme="minorHAnsi"/>
          <w:bCs/>
          <w:szCs w:val="24"/>
          <w:u w:val="single"/>
          <w:lang w:val="en-US" w:eastAsia="da-DK"/>
        </w:rPr>
        <w:br/>
      </w:r>
      <w:proofErr w:type="spellStart"/>
      <w:r>
        <w:rPr>
          <w:rFonts w:eastAsia="Times New Roman" w:cstheme="minorHAnsi"/>
          <w:bCs/>
          <w:szCs w:val="24"/>
          <w:lang w:val="en-US" w:eastAsia="da-DK"/>
        </w:rPr>
        <w:t>F.eks</w:t>
      </w:r>
      <w:proofErr w:type="spellEnd"/>
      <w:r>
        <w:rPr>
          <w:rFonts w:eastAsia="Times New Roman" w:cstheme="minorHAnsi"/>
          <w:bCs/>
          <w:szCs w:val="24"/>
          <w:lang w:val="en-US" w:eastAsia="da-DK"/>
        </w:rPr>
        <w:t>. GLUT1</w:t>
      </w:r>
    </w:p>
    <w:p w:rsidR="00E15979" w:rsidRDefault="00E15979" w:rsidP="00E15979">
      <w:pPr>
        <w:numPr>
          <w:ilvl w:val="0"/>
          <w:numId w:val="5"/>
        </w:numPr>
        <w:spacing w:after="0" w:line="240" w:lineRule="auto"/>
        <w:ind w:left="540"/>
        <w:textAlignment w:val="center"/>
        <w:rPr>
          <w:rFonts w:eastAsia="Times New Roman" w:cstheme="minorHAnsi"/>
          <w:szCs w:val="24"/>
          <w:u w:val="single"/>
          <w:lang w:val="en-US" w:eastAsia="da-DK"/>
        </w:rPr>
      </w:pPr>
      <w:r w:rsidRPr="00E15979">
        <w:rPr>
          <w:rFonts w:eastAsia="Times New Roman" w:cstheme="minorHAnsi"/>
          <w:bCs/>
          <w:szCs w:val="24"/>
          <w:u w:val="single"/>
          <w:lang w:val="en-US" w:eastAsia="da-DK"/>
        </w:rPr>
        <w:t>Enzymer</w:t>
      </w:r>
    </w:p>
    <w:p w:rsidR="00E15979" w:rsidRPr="00E15979" w:rsidRDefault="00E15979" w:rsidP="00E15979">
      <w:pPr>
        <w:spacing w:after="0" w:line="240" w:lineRule="auto"/>
        <w:ind w:left="540"/>
        <w:textAlignment w:val="center"/>
        <w:rPr>
          <w:rFonts w:eastAsia="Times New Roman" w:cstheme="minorHAnsi"/>
          <w:szCs w:val="24"/>
          <w:lang w:eastAsia="da-DK"/>
        </w:rPr>
      </w:pPr>
      <w:r w:rsidRPr="00E15979">
        <w:rPr>
          <w:rFonts w:eastAsia="Times New Roman" w:cstheme="minorHAnsi"/>
          <w:szCs w:val="24"/>
          <w:lang w:eastAsia="da-DK"/>
        </w:rPr>
        <w:t xml:space="preserve">F.eks. </w:t>
      </w:r>
      <w:proofErr w:type="spellStart"/>
      <w:r w:rsidRPr="00E15979">
        <w:rPr>
          <w:rFonts w:eastAsia="Times New Roman" w:cstheme="minorHAnsi"/>
          <w:szCs w:val="24"/>
          <w:lang w:eastAsia="da-DK"/>
        </w:rPr>
        <w:t>topoisomerase</w:t>
      </w:r>
      <w:proofErr w:type="spellEnd"/>
      <w:r w:rsidRPr="00E15979">
        <w:rPr>
          <w:rFonts w:eastAsia="Times New Roman" w:cstheme="minorHAnsi"/>
          <w:szCs w:val="24"/>
          <w:lang w:eastAsia="da-DK"/>
        </w:rPr>
        <w:t xml:space="preserve"> </w:t>
      </w:r>
    </w:p>
    <w:p w:rsidR="00E15979" w:rsidRPr="00E15979" w:rsidRDefault="00E15979" w:rsidP="00E15979">
      <w:pPr>
        <w:spacing w:after="0" w:line="240" w:lineRule="auto"/>
        <w:ind w:left="540"/>
        <w:rPr>
          <w:rFonts w:eastAsia="Times New Roman" w:cstheme="minorHAnsi"/>
          <w:szCs w:val="24"/>
          <w:lang w:eastAsia="da-DK"/>
        </w:rPr>
      </w:pPr>
      <w:r w:rsidRPr="00E15979">
        <w:rPr>
          <w:rFonts w:eastAsia="Times New Roman" w:cstheme="minorHAnsi"/>
          <w:szCs w:val="24"/>
          <w:lang w:eastAsia="da-DK"/>
        </w:rPr>
        <w:t> </w:t>
      </w:r>
    </w:p>
    <w:p w:rsidR="00E15979" w:rsidRPr="00E15979" w:rsidRDefault="00E15979" w:rsidP="00E15979">
      <w:pPr>
        <w:spacing w:after="0" w:line="240" w:lineRule="auto"/>
        <w:rPr>
          <w:rFonts w:eastAsia="Times New Roman" w:cstheme="minorHAnsi"/>
          <w:szCs w:val="24"/>
          <w:lang w:eastAsia="da-DK"/>
        </w:rPr>
      </w:pPr>
      <w:r w:rsidRPr="00E15979">
        <w:rPr>
          <w:rFonts w:eastAsia="Times New Roman" w:cstheme="minorHAnsi"/>
          <w:b/>
          <w:bCs/>
          <w:szCs w:val="24"/>
          <w:lang w:eastAsia="da-DK"/>
        </w:rPr>
        <w:t>Lægemiddelreceptorer</w:t>
      </w:r>
      <w:r w:rsidRPr="00E15979">
        <w:rPr>
          <w:rFonts w:eastAsia="Times New Roman" w:cstheme="minorHAnsi"/>
          <w:b/>
          <w:bCs/>
          <w:szCs w:val="24"/>
          <w:lang w:eastAsia="da-DK"/>
        </w:rPr>
        <w:br/>
      </w:r>
      <w:r>
        <w:rPr>
          <w:rFonts w:eastAsia="Times New Roman" w:cstheme="minorHAnsi"/>
          <w:szCs w:val="24"/>
          <w:lang w:eastAsia="da-DK"/>
        </w:rPr>
        <w:t xml:space="preserve">I farmakologisk forstand betegnes </w:t>
      </w:r>
      <w:proofErr w:type="spellStart"/>
      <w:r>
        <w:rPr>
          <w:rFonts w:eastAsia="Times New Roman" w:cstheme="minorHAnsi"/>
          <w:szCs w:val="24"/>
          <w:lang w:eastAsia="da-DK"/>
        </w:rPr>
        <w:t>lægemiddelreceptorer</w:t>
      </w:r>
      <w:proofErr w:type="spellEnd"/>
      <w:r>
        <w:rPr>
          <w:rFonts w:eastAsia="Times New Roman" w:cstheme="minorHAnsi"/>
          <w:szCs w:val="24"/>
          <w:lang w:eastAsia="da-DK"/>
        </w:rPr>
        <w:t xml:space="preserve"> som alle t</w:t>
      </w:r>
      <w:r w:rsidRPr="00E15979">
        <w:rPr>
          <w:rFonts w:eastAsia="Times New Roman" w:cstheme="minorHAnsi"/>
          <w:szCs w:val="24"/>
          <w:lang w:eastAsia="da-DK"/>
        </w:rPr>
        <w:t>argetmolekyler gennem hvilke opløselige, fysiologiske mediatorer udøver deres effekt ved binding.</w:t>
      </w:r>
      <w:r w:rsidRPr="00E15979">
        <w:rPr>
          <w:rFonts w:eastAsia="Times New Roman" w:cstheme="minorHAnsi"/>
          <w:szCs w:val="24"/>
          <w:lang w:eastAsia="da-DK"/>
        </w:rPr>
        <w:br/>
        <w:t xml:space="preserve">Lægemidler kan enten aktivere receptorerne ved at inducere konformationsændring og dermed igangsætte intracellulære </w:t>
      </w:r>
      <w:proofErr w:type="spellStart"/>
      <w:r w:rsidRPr="00E15979">
        <w:rPr>
          <w:rFonts w:eastAsia="Times New Roman" w:cstheme="minorHAnsi"/>
          <w:szCs w:val="24"/>
          <w:lang w:eastAsia="da-DK"/>
        </w:rPr>
        <w:t>pathways</w:t>
      </w:r>
      <w:proofErr w:type="spellEnd"/>
      <w:r w:rsidRPr="00E15979">
        <w:rPr>
          <w:rFonts w:eastAsia="Times New Roman" w:cstheme="minorHAnsi"/>
          <w:szCs w:val="24"/>
          <w:lang w:eastAsia="da-DK"/>
        </w:rPr>
        <w:t xml:space="preserve"> </w:t>
      </w:r>
      <w:r w:rsidRPr="00E15979">
        <w:rPr>
          <w:rFonts w:eastAsia="Times New Roman" w:cstheme="minorHAnsi"/>
          <w:i/>
          <w:szCs w:val="24"/>
          <w:lang w:eastAsia="da-DK"/>
        </w:rPr>
        <w:t>(agonister)</w:t>
      </w:r>
      <w:r w:rsidRPr="00E15979">
        <w:rPr>
          <w:rFonts w:eastAsia="Times New Roman" w:cstheme="minorHAnsi"/>
          <w:szCs w:val="24"/>
          <w:lang w:eastAsia="da-DK"/>
        </w:rPr>
        <w:t xml:space="preserve"> eller inhibere bindingen af agonister og dermed disses virkning </w:t>
      </w:r>
      <w:r w:rsidRPr="00E15979">
        <w:rPr>
          <w:rFonts w:eastAsia="Times New Roman" w:cstheme="minorHAnsi"/>
          <w:i/>
          <w:szCs w:val="24"/>
          <w:lang w:eastAsia="da-DK"/>
        </w:rPr>
        <w:t>(antagonister)</w:t>
      </w:r>
      <w:r w:rsidRPr="00E15979">
        <w:rPr>
          <w:rFonts w:eastAsia="Times New Roman" w:cstheme="minorHAnsi"/>
          <w:szCs w:val="24"/>
          <w:lang w:eastAsia="da-DK"/>
        </w:rPr>
        <w:t xml:space="preserve">. </w:t>
      </w:r>
      <w:r w:rsidRPr="00E15979">
        <w:rPr>
          <w:rFonts w:eastAsia="Times New Roman" w:cstheme="minorHAnsi"/>
          <w:szCs w:val="24"/>
          <w:lang w:eastAsia="da-DK"/>
        </w:rPr>
        <w:br/>
        <w:t> </w:t>
      </w:r>
    </w:p>
    <w:p w:rsidR="00E15979" w:rsidRPr="00E15979" w:rsidRDefault="00E15979" w:rsidP="00E15979">
      <w:pPr>
        <w:spacing w:after="0" w:line="240" w:lineRule="auto"/>
        <w:rPr>
          <w:rFonts w:eastAsia="Times New Roman" w:cstheme="minorHAnsi"/>
          <w:color w:val="000000"/>
          <w:szCs w:val="24"/>
          <w:lang w:eastAsia="da-DK"/>
        </w:rPr>
      </w:pPr>
      <w:r w:rsidRPr="00E15979">
        <w:rPr>
          <w:rFonts w:eastAsia="Times New Roman" w:cstheme="minorHAnsi"/>
          <w:b/>
          <w:bCs/>
          <w:color w:val="000000"/>
          <w:szCs w:val="24"/>
          <w:lang w:eastAsia="da-DK"/>
        </w:rPr>
        <w:t>Specificitet</w:t>
      </w:r>
      <w:r w:rsidRPr="00E15979">
        <w:rPr>
          <w:rFonts w:eastAsia="Times New Roman" w:cstheme="minorHAnsi"/>
          <w:b/>
          <w:bCs/>
          <w:color w:val="000000"/>
          <w:szCs w:val="24"/>
          <w:lang w:eastAsia="da-DK"/>
        </w:rPr>
        <w:br/>
      </w:r>
      <w:r w:rsidRPr="00E15979">
        <w:rPr>
          <w:rFonts w:eastAsia="Times New Roman" w:cstheme="minorHAnsi"/>
          <w:color w:val="000000"/>
          <w:szCs w:val="24"/>
          <w:lang w:eastAsia="da-DK"/>
        </w:rPr>
        <w:t>Lægemiddelsspecificitet er</w:t>
      </w:r>
      <w:r>
        <w:rPr>
          <w:rFonts w:eastAsia="Times New Roman" w:cstheme="minorHAnsi"/>
          <w:color w:val="000000"/>
          <w:szCs w:val="24"/>
          <w:lang w:eastAsia="da-DK"/>
        </w:rPr>
        <w:t xml:space="preserve"> et</w:t>
      </w:r>
      <w:r w:rsidRPr="00E15979">
        <w:rPr>
          <w:rFonts w:eastAsia="Times New Roman" w:cstheme="minorHAnsi"/>
          <w:color w:val="000000"/>
          <w:szCs w:val="24"/>
          <w:lang w:eastAsia="da-DK"/>
        </w:rPr>
        <w:t xml:space="preserve"> udtryk for to samspillende faktorer: et lægemiddel bør således kun binde til receptorer som i videst muligt omfang kun findes ved ønsket lokation/væv for dets virkning - samtidig bør targetreceptoreren udvise stor ligandspecificitet, således kun få eller ingen andre molekyler end agonist/antagonist binder sig hertil og således spærrer for lægemidlet og dets funktion. </w:t>
      </w:r>
    </w:p>
    <w:p w:rsidR="00E15979" w:rsidRPr="00E15979" w:rsidRDefault="00E15979" w:rsidP="00E15979">
      <w:pPr>
        <w:spacing w:after="0" w:line="240" w:lineRule="auto"/>
        <w:rPr>
          <w:rFonts w:eastAsia="Times New Roman" w:cstheme="minorHAnsi"/>
          <w:szCs w:val="24"/>
          <w:lang w:val="en-US" w:eastAsia="da-DK"/>
        </w:rPr>
      </w:pPr>
      <w:r w:rsidRPr="00E15979">
        <w:rPr>
          <w:rFonts w:eastAsia="Times New Roman" w:cstheme="minorHAnsi"/>
          <w:szCs w:val="24"/>
          <w:lang w:eastAsia="da-DK"/>
        </w:rPr>
        <w:br/>
      </w:r>
      <w:r w:rsidRPr="00E15979">
        <w:rPr>
          <w:rFonts w:eastAsia="Times New Roman" w:cstheme="minorHAnsi"/>
          <w:b/>
          <w:bCs/>
          <w:szCs w:val="24"/>
          <w:lang w:val="en-US" w:eastAsia="da-DK"/>
        </w:rPr>
        <w:t>Receptor-lægemiddel-interaktion</w:t>
      </w:r>
      <w:r w:rsidRPr="00E15979">
        <w:rPr>
          <w:rFonts w:eastAsia="Times New Roman" w:cstheme="minorHAnsi"/>
          <w:b/>
          <w:bCs/>
          <w:szCs w:val="24"/>
          <w:lang w:val="en-US" w:eastAsia="da-DK"/>
        </w:rPr>
        <w:br/>
      </w:r>
      <w:r w:rsidRPr="00E15979">
        <w:rPr>
          <w:rFonts w:eastAsia="Times New Roman" w:cstheme="minorHAnsi"/>
          <w:szCs w:val="24"/>
          <w:lang w:val="en-US" w:eastAsia="da-DK"/>
        </w:rPr>
        <w:t> </w:t>
      </w:r>
    </w:p>
    <w:p w:rsidR="00E15979" w:rsidRPr="00E15979" w:rsidRDefault="00E15979" w:rsidP="00E15979">
      <w:pPr>
        <w:numPr>
          <w:ilvl w:val="0"/>
          <w:numId w:val="6"/>
        </w:numPr>
        <w:spacing w:after="0" w:line="240" w:lineRule="auto"/>
        <w:ind w:left="540"/>
        <w:textAlignment w:val="center"/>
        <w:rPr>
          <w:rFonts w:eastAsia="Times New Roman" w:cstheme="minorHAnsi"/>
          <w:szCs w:val="24"/>
          <w:lang w:eastAsia="da-DK"/>
        </w:rPr>
      </w:pPr>
      <w:r w:rsidRPr="00E15979">
        <w:rPr>
          <w:rFonts w:eastAsia="Times New Roman" w:cstheme="minorHAnsi"/>
          <w:b/>
          <w:bCs/>
          <w:color w:val="00B050"/>
          <w:szCs w:val="24"/>
          <w:lang w:eastAsia="da-DK"/>
        </w:rPr>
        <w:t>Agonist (A)</w:t>
      </w:r>
      <w:r w:rsidRPr="00E15979">
        <w:rPr>
          <w:rFonts w:eastAsia="Times New Roman" w:cstheme="minorHAnsi"/>
          <w:szCs w:val="24"/>
          <w:lang w:eastAsia="da-DK"/>
        </w:rPr>
        <w:t>: aktiverer receptor</w:t>
      </w:r>
      <w:r w:rsidR="00654146">
        <w:rPr>
          <w:rFonts w:eastAsia="Times New Roman" w:cstheme="minorHAnsi"/>
          <w:szCs w:val="24"/>
          <w:lang w:eastAsia="da-DK"/>
        </w:rPr>
        <w:t xml:space="preserve"> (R)</w:t>
      </w:r>
      <w:r w:rsidRPr="00E15979">
        <w:rPr>
          <w:rFonts w:eastAsia="Times New Roman" w:cstheme="minorHAnsi"/>
          <w:szCs w:val="24"/>
          <w:lang w:eastAsia="da-DK"/>
        </w:rPr>
        <w:t xml:space="preserve"> og udviser efficacy (</w:t>
      </w:r>
      <w:r>
        <w:rPr>
          <w:rFonts w:eastAsia="Times New Roman" w:cstheme="minorHAnsi"/>
          <w:szCs w:val="24"/>
          <w:lang w:eastAsia="da-DK"/>
        </w:rPr>
        <w:t>dvs. udløser et respons</w:t>
      </w:r>
      <w:r w:rsidRPr="00E15979">
        <w:rPr>
          <w:rFonts w:eastAsia="Times New Roman" w:cstheme="minorHAnsi"/>
          <w:szCs w:val="24"/>
          <w:lang w:eastAsia="da-DK"/>
        </w:rPr>
        <w:t>)</w:t>
      </w:r>
    </w:p>
    <w:p w:rsidR="00E15979" w:rsidRPr="00E15979" w:rsidRDefault="00E15979" w:rsidP="00E15979">
      <w:pPr>
        <w:spacing w:after="0" w:line="240" w:lineRule="auto"/>
        <w:ind w:left="540"/>
        <w:rPr>
          <w:rFonts w:eastAsia="Times New Roman" w:cstheme="minorHAnsi"/>
          <w:szCs w:val="24"/>
          <w:lang w:eastAsia="da-DK"/>
        </w:rPr>
      </w:pPr>
      <w:r w:rsidRPr="00E15979">
        <w:rPr>
          <w:rFonts w:eastAsia="Times New Roman" w:cstheme="minorHAnsi"/>
          <w:noProof/>
          <w:szCs w:val="24"/>
          <w:lang w:eastAsia="da-DK"/>
        </w:rPr>
        <w:drawing>
          <wp:inline distT="0" distB="0" distL="0" distR="0">
            <wp:extent cx="3028950" cy="723900"/>
            <wp:effectExtent l="0" t="0" r="0" b="0"/>
            <wp:docPr id="4" name="Billede 4" descr="+ R A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 R AR "/>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028950" cy="723900"/>
                    </a:xfrm>
                    <a:prstGeom prst="rect">
                      <a:avLst/>
                    </a:prstGeom>
                    <a:noFill/>
                    <a:ln>
                      <a:noFill/>
                    </a:ln>
                  </pic:spPr>
                </pic:pic>
              </a:graphicData>
            </a:graphic>
          </wp:inline>
        </w:drawing>
      </w:r>
    </w:p>
    <w:p w:rsidR="00E15979" w:rsidRPr="00E15979" w:rsidRDefault="00E15979" w:rsidP="00E15979">
      <w:pPr>
        <w:spacing w:after="0" w:line="240" w:lineRule="auto"/>
        <w:ind w:left="540"/>
        <w:rPr>
          <w:rFonts w:eastAsia="Times New Roman" w:cstheme="minorHAnsi"/>
          <w:color w:val="00B050"/>
          <w:szCs w:val="24"/>
          <w:lang w:eastAsia="da-DK"/>
        </w:rPr>
      </w:pPr>
      <w:r w:rsidRPr="00E15979">
        <w:rPr>
          <w:rFonts w:eastAsia="Times New Roman" w:cstheme="minorHAnsi"/>
          <w:i/>
          <w:iCs/>
          <w:color w:val="00B050"/>
          <w:szCs w:val="24"/>
          <w:lang w:eastAsia="da-DK"/>
        </w:rPr>
        <w:lastRenderedPageBreak/>
        <w:t xml:space="preserve">På tegning: agonist binder til receptor (tidskonstant for association = K+1, tidskonstant for dissociation = K-1) og efter binding går der beta-tid før receptoren aktiveres. </w:t>
      </w:r>
      <w:r w:rsidRPr="00E15979">
        <w:rPr>
          <w:rFonts w:eastAsia="Times New Roman" w:cstheme="minorHAnsi"/>
          <w:i/>
          <w:iCs/>
          <w:color w:val="00B050"/>
          <w:szCs w:val="24"/>
          <w:lang w:eastAsia="da-DK"/>
        </w:rPr>
        <w:br/>
      </w:r>
      <w:r w:rsidRPr="00E15979">
        <w:rPr>
          <w:rFonts w:eastAsia="Times New Roman" w:cstheme="minorHAnsi"/>
          <w:color w:val="00B050"/>
          <w:szCs w:val="24"/>
          <w:lang w:eastAsia="da-DK"/>
        </w:rPr>
        <w:t> </w:t>
      </w:r>
    </w:p>
    <w:p w:rsidR="00E15979" w:rsidRPr="00E15979" w:rsidRDefault="00E15979" w:rsidP="00E15979">
      <w:pPr>
        <w:numPr>
          <w:ilvl w:val="0"/>
          <w:numId w:val="7"/>
        </w:numPr>
        <w:spacing w:after="0" w:line="240" w:lineRule="auto"/>
        <w:ind w:left="540"/>
        <w:textAlignment w:val="center"/>
        <w:rPr>
          <w:rFonts w:eastAsia="Times New Roman" w:cstheme="minorHAnsi"/>
          <w:szCs w:val="24"/>
          <w:lang w:eastAsia="da-DK"/>
        </w:rPr>
      </w:pPr>
      <w:r w:rsidRPr="00E15979">
        <w:rPr>
          <w:rFonts w:eastAsia="Times New Roman" w:cstheme="minorHAnsi"/>
          <w:b/>
          <w:bCs/>
          <w:color w:val="FF0000"/>
          <w:szCs w:val="24"/>
          <w:lang w:eastAsia="da-DK"/>
        </w:rPr>
        <w:t>Anatagonist (B)</w:t>
      </w:r>
      <w:r w:rsidRPr="00E15979">
        <w:rPr>
          <w:rFonts w:eastAsia="Times New Roman" w:cstheme="minorHAnsi"/>
          <w:szCs w:val="24"/>
          <w:lang w:eastAsia="da-DK"/>
        </w:rPr>
        <w:t>: blokerer receptor</w:t>
      </w:r>
      <w:r w:rsidR="00654146">
        <w:rPr>
          <w:rFonts w:eastAsia="Times New Roman" w:cstheme="minorHAnsi"/>
          <w:szCs w:val="24"/>
          <w:lang w:eastAsia="da-DK"/>
        </w:rPr>
        <w:t xml:space="preserve"> (R)</w:t>
      </w:r>
      <w:r w:rsidRPr="00E15979">
        <w:rPr>
          <w:rFonts w:eastAsia="Times New Roman" w:cstheme="minorHAnsi"/>
          <w:szCs w:val="24"/>
          <w:lang w:eastAsia="da-DK"/>
        </w:rPr>
        <w:t xml:space="preserve"> og udviser liden til ingen efficacy (</w:t>
      </w:r>
      <w:r>
        <w:rPr>
          <w:rFonts w:eastAsia="Times New Roman" w:cstheme="minorHAnsi"/>
          <w:szCs w:val="24"/>
          <w:lang w:eastAsia="da-DK"/>
        </w:rPr>
        <w:t>dvs. udløser ikke et respons</w:t>
      </w:r>
      <w:r w:rsidRPr="00E15979">
        <w:rPr>
          <w:rFonts w:eastAsia="Times New Roman" w:cstheme="minorHAnsi"/>
          <w:szCs w:val="24"/>
          <w:lang w:eastAsia="da-DK"/>
        </w:rPr>
        <w:t>)</w:t>
      </w:r>
    </w:p>
    <w:p w:rsidR="00E15979" w:rsidRPr="00E15979" w:rsidRDefault="00E15979" w:rsidP="00E15979">
      <w:pPr>
        <w:spacing w:after="0" w:line="240" w:lineRule="auto"/>
        <w:ind w:left="540"/>
        <w:rPr>
          <w:rFonts w:eastAsia="Times New Roman" w:cstheme="minorHAnsi"/>
          <w:szCs w:val="24"/>
          <w:lang w:eastAsia="da-DK"/>
        </w:rPr>
      </w:pPr>
      <w:r w:rsidRPr="00E15979">
        <w:rPr>
          <w:rFonts w:eastAsia="Times New Roman" w:cstheme="minorHAnsi"/>
          <w:noProof/>
          <w:szCs w:val="24"/>
          <w:lang w:eastAsia="da-DK"/>
        </w:rPr>
        <w:drawing>
          <wp:inline distT="0" distB="0" distL="0" distR="0">
            <wp:extent cx="3111500" cy="679450"/>
            <wp:effectExtent l="0" t="0" r="0" b="6350"/>
            <wp:docPr id="3" name="Billede 3" descr="C:\Users\JEPPEF~1\AppData\Local\Temp\msohtmlclip1\02\clip_image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EPPEF~1\AppData\Local\Temp\msohtmlclip1\02\clip_image002.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111500" cy="679450"/>
                    </a:xfrm>
                    <a:prstGeom prst="rect">
                      <a:avLst/>
                    </a:prstGeom>
                    <a:noFill/>
                    <a:ln>
                      <a:noFill/>
                    </a:ln>
                  </pic:spPr>
                </pic:pic>
              </a:graphicData>
            </a:graphic>
          </wp:inline>
        </w:drawing>
      </w:r>
    </w:p>
    <w:p w:rsidR="00E15979" w:rsidRPr="00E15979" w:rsidRDefault="00E15979" w:rsidP="00E15979">
      <w:pPr>
        <w:spacing w:after="0" w:line="240" w:lineRule="auto"/>
        <w:ind w:left="540"/>
        <w:rPr>
          <w:rFonts w:eastAsia="Times New Roman" w:cstheme="minorHAnsi"/>
          <w:color w:val="FF0000"/>
          <w:szCs w:val="24"/>
          <w:lang w:eastAsia="da-DK"/>
        </w:rPr>
      </w:pPr>
      <w:r w:rsidRPr="00E15979">
        <w:rPr>
          <w:rFonts w:eastAsia="Times New Roman" w:cstheme="minorHAnsi"/>
          <w:i/>
          <w:iCs/>
          <w:color w:val="FF0000"/>
          <w:szCs w:val="24"/>
          <w:lang w:eastAsia="da-DK"/>
        </w:rPr>
        <w:t xml:space="preserve">På tegning: antagonist binder sig til receptor (samme tidskonstanter som i ovenstående) - der forekommer ej </w:t>
      </w:r>
      <w:r>
        <w:rPr>
          <w:rFonts w:eastAsia="Times New Roman" w:cstheme="minorHAnsi"/>
          <w:i/>
          <w:iCs/>
          <w:color w:val="FF0000"/>
          <w:szCs w:val="24"/>
          <w:lang w:eastAsia="da-DK"/>
        </w:rPr>
        <w:t>receptoraktivering (og dermed ej respons)</w:t>
      </w:r>
      <w:r w:rsidRPr="00E15979">
        <w:rPr>
          <w:rFonts w:eastAsia="Times New Roman" w:cstheme="minorHAnsi"/>
          <w:i/>
          <w:iCs/>
          <w:color w:val="FF0000"/>
          <w:szCs w:val="24"/>
          <w:lang w:eastAsia="da-DK"/>
        </w:rPr>
        <w:t>, idet antagonisten blot blokerer for binding</w:t>
      </w:r>
      <w:r w:rsidR="00362BF5">
        <w:rPr>
          <w:rFonts w:eastAsia="Times New Roman" w:cstheme="minorHAnsi"/>
          <w:i/>
          <w:iCs/>
          <w:color w:val="FF0000"/>
          <w:szCs w:val="24"/>
          <w:lang w:eastAsia="da-DK"/>
        </w:rPr>
        <w:t>en</w:t>
      </w:r>
      <w:r w:rsidRPr="00E15979">
        <w:rPr>
          <w:rFonts w:eastAsia="Times New Roman" w:cstheme="minorHAnsi"/>
          <w:i/>
          <w:iCs/>
          <w:color w:val="FF0000"/>
          <w:szCs w:val="24"/>
          <w:lang w:eastAsia="da-DK"/>
        </w:rPr>
        <w:t xml:space="preserve"> af</w:t>
      </w:r>
      <w:r w:rsidR="00362BF5">
        <w:rPr>
          <w:rFonts w:eastAsia="Times New Roman" w:cstheme="minorHAnsi"/>
          <w:i/>
          <w:iCs/>
          <w:color w:val="FF0000"/>
          <w:szCs w:val="24"/>
          <w:lang w:eastAsia="da-DK"/>
        </w:rPr>
        <w:t xml:space="preserve"> en</w:t>
      </w:r>
      <w:r w:rsidRPr="00E15979">
        <w:rPr>
          <w:rFonts w:eastAsia="Times New Roman" w:cstheme="minorHAnsi"/>
          <w:i/>
          <w:iCs/>
          <w:color w:val="FF0000"/>
          <w:szCs w:val="24"/>
          <w:lang w:eastAsia="da-DK"/>
        </w:rPr>
        <w:t xml:space="preserve"> agonist</w:t>
      </w:r>
      <w:r w:rsidR="00362BF5">
        <w:rPr>
          <w:rFonts w:eastAsia="Times New Roman" w:cstheme="minorHAnsi"/>
          <w:i/>
          <w:iCs/>
          <w:color w:val="FF0000"/>
          <w:szCs w:val="24"/>
          <w:lang w:eastAsia="da-DK"/>
        </w:rPr>
        <w:t xml:space="preserve">. </w:t>
      </w:r>
    </w:p>
    <w:p w:rsidR="00E15979" w:rsidRPr="00E15979" w:rsidRDefault="00E15979" w:rsidP="00E15979">
      <w:pPr>
        <w:spacing w:after="0" w:line="240" w:lineRule="auto"/>
        <w:ind w:left="540"/>
        <w:rPr>
          <w:rFonts w:eastAsia="Times New Roman" w:cstheme="minorHAnsi"/>
          <w:szCs w:val="24"/>
          <w:lang w:eastAsia="da-DK"/>
        </w:rPr>
      </w:pPr>
      <w:r w:rsidRPr="00E15979">
        <w:rPr>
          <w:rFonts w:eastAsia="Times New Roman" w:cstheme="minorHAnsi"/>
          <w:b/>
          <w:bCs/>
          <w:i/>
          <w:iCs/>
          <w:color w:val="FF0000"/>
          <w:szCs w:val="24"/>
          <w:lang w:eastAsia="da-DK"/>
        </w:rPr>
        <w:br/>
      </w:r>
      <w:r w:rsidRPr="00E15979">
        <w:rPr>
          <w:rFonts w:eastAsia="Times New Roman" w:cstheme="minorHAnsi"/>
          <w:color w:val="000000"/>
          <w:szCs w:val="24"/>
          <w:lang w:eastAsia="da-DK"/>
        </w:rPr>
        <w:t>Et lægemiddel kan både være en agonist og en antagonist!</w:t>
      </w:r>
    </w:p>
    <w:p w:rsidR="00E15979" w:rsidRPr="00E15979" w:rsidRDefault="00E15979" w:rsidP="00E15979">
      <w:pPr>
        <w:spacing w:after="0" w:line="240" w:lineRule="auto"/>
        <w:rPr>
          <w:rFonts w:eastAsia="Times New Roman" w:cstheme="minorHAnsi"/>
          <w:color w:val="000000"/>
          <w:szCs w:val="24"/>
          <w:lang w:eastAsia="da-DK"/>
        </w:rPr>
      </w:pPr>
      <w:r w:rsidRPr="00E15979">
        <w:rPr>
          <w:rFonts w:eastAsia="Times New Roman" w:cstheme="minorHAnsi"/>
          <w:color w:val="000000"/>
          <w:szCs w:val="24"/>
          <w:lang w:eastAsia="da-DK"/>
        </w:rPr>
        <w:t> </w:t>
      </w:r>
    </w:p>
    <w:p w:rsidR="00E15979" w:rsidRDefault="00E15979" w:rsidP="00E15979">
      <w:pPr>
        <w:spacing w:after="0" w:line="240" w:lineRule="auto"/>
        <w:rPr>
          <w:rFonts w:eastAsia="Times New Roman" w:cstheme="minorHAnsi"/>
          <w:szCs w:val="24"/>
          <w:lang w:eastAsia="da-DK"/>
        </w:rPr>
      </w:pPr>
      <w:r w:rsidRPr="00E15979">
        <w:rPr>
          <w:rFonts w:eastAsia="Times New Roman" w:cstheme="minorHAnsi"/>
          <w:b/>
          <w:bCs/>
          <w:szCs w:val="24"/>
          <w:lang w:eastAsia="da-DK"/>
        </w:rPr>
        <w:t xml:space="preserve">Potency </w:t>
      </w:r>
      <w:r w:rsidRPr="00E15979">
        <w:rPr>
          <w:rFonts w:eastAsia="Times New Roman" w:cstheme="minorHAnsi"/>
          <w:szCs w:val="24"/>
          <w:lang w:eastAsia="da-DK"/>
        </w:rPr>
        <w:br/>
        <w:t xml:space="preserve">Et agonistisk lægemiddels </w:t>
      </w:r>
      <w:r w:rsidRPr="00E15979">
        <w:rPr>
          <w:rFonts w:eastAsia="Times New Roman" w:cstheme="minorHAnsi"/>
          <w:iCs/>
          <w:szCs w:val="24"/>
          <w:lang w:eastAsia="da-DK"/>
        </w:rPr>
        <w:t>potency</w:t>
      </w:r>
      <w:r w:rsidR="00C85677">
        <w:rPr>
          <w:rFonts w:eastAsia="Times New Roman" w:cstheme="minorHAnsi"/>
          <w:iCs/>
          <w:szCs w:val="24"/>
          <w:lang w:eastAsia="da-DK"/>
        </w:rPr>
        <w:t xml:space="preserve"> (eller potens)</w:t>
      </w:r>
      <w:r w:rsidRPr="00E15979">
        <w:rPr>
          <w:rFonts w:eastAsia="Times New Roman" w:cstheme="minorHAnsi"/>
          <w:i/>
          <w:iCs/>
          <w:szCs w:val="24"/>
          <w:lang w:eastAsia="da-DK"/>
        </w:rPr>
        <w:t xml:space="preserve"> </w:t>
      </w:r>
      <w:r w:rsidRPr="00E15979">
        <w:rPr>
          <w:rFonts w:eastAsia="Times New Roman" w:cstheme="minorHAnsi"/>
          <w:szCs w:val="24"/>
          <w:lang w:eastAsia="da-DK"/>
        </w:rPr>
        <w:t xml:space="preserve">siger noget om dets evne til at </w:t>
      </w:r>
      <w:r w:rsidRPr="00E15979">
        <w:rPr>
          <w:rFonts w:eastAsia="Times New Roman" w:cstheme="minorHAnsi"/>
          <w:i/>
          <w:szCs w:val="24"/>
          <w:lang w:eastAsia="da-DK"/>
        </w:rPr>
        <w:t>udløse</w:t>
      </w:r>
      <w:r w:rsidRPr="00E15979">
        <w:rPr>
          <w:rFonts w:eastAsia="Times New Roman" w:cstheme="minorHAnsi"/>
          <w:szCs w:val="24"/>
          <w:lang w:eastAsia="da-DK"/>
        </w:rPr>
        <w:t xml:space="preserve"> et ønsket respons - således vil et lægemiddel med høj potens kun fordre små koncentrationer før dets effekt (efficacy) kommer til udtryk. </w:t>
      </w:r>
      <w:r w:rsidRPr="00E15979">
        <w:rPr>
          <w:rFonts w:eastAsia="Times New Roman" w:cstheme="minorHAnsi"/>
          <w:szCs w:val="24"/>
          <w:lang w:eastAsia="da-DK"/>
        </w:rPr>
        <w:br/>
        <w:t xml:space="preserve">Et lægemiddel med lav potens fordrer </w:t>
      </w:r>
      <w:r w:rsidR="00C85677">
        <w:rPr>
          <w:rFonts w:eastAsia="Times New Roman" w:cstheme="minorHAnsi"/>
          <w:szCs w:val="24"/>
          <w:lang w:eastAsia="da-DK"/>
        </w:rPr>
        <w:t xml:space="preserve">omvendt </w:t>
      </w:r>
      <w:r w:rsidRPr="00E15979">
        <w:rPr>
          <w:rFonts w:eastAsia="Times New Roman" w:cstheme="minorHAnsi"/>
          <w:szCs w:val="24"/>
          <w:lang w:eastAsia="da-DK"/>
        </w:rPr>
        <w:t xml:space="preserve">højere koncentrationer før dets effekt (efficacy) kommer til udtryk. </w:t>
      </w:r>
      <w:r w:rsidRPr="00E15979">
        <w:rPr>
          <w:rFonts w:eastAsia="Times New Roman" w:cstheme="minorHAnsi"/>
          <w:szCs w:val="24"/>
          <w:lang w:eastAsia="da-DK"/>
        </w:rPr>
        <w:br/>
      </w:r>
      <w:r w:rsidR="00C85677">
        <w:rPr>
          <w:rFonts w:eastAsia="Times New Roman" w:cstheme="minorHAnsi"/>
          <w:szCs w:val="24"/>
          <w:lang w:eastAsia="da-DK"/>
        </w:rPr>
        <w:br/>
      </w:r>
      <w:r w:rsidR="00C85677" w:rsidRPr="00E15979">
        <w:rPr>
          <w:rFonts w:eastAsia="Times New Roman" w:cstheme="minorHAnsi"/>
          <w:szCs w:val="24"/>
          <w:lang w:eastAsia="da-DK"/>
        </w:rPr>
        <w:t>Potens er uafhængigt af effekt (efficacy)</w:t>
      </w:r>
      <w:r w:rsidR="00C85677">
        <w:rPr>
          <w:rFonts w:eastAsia="Times New Roman" w:cstheme="minorHAnsi"/>
          <w:szCs w:val="24"/>
          <w:lang w:eastAsia="da-DK"/>
        </w:rPr>
        <w:br/>
      </w:r>
      <w:r w:rsidRPr="00E15979">
        <w:rPr>
          <w:rFonts w:eastAsia="Times New Roman" w:cstheme="minorHAnsi"/>
          <w:szCs w:val="24"/>
          <w:lang w:eastAsia="da-DK"/>
        </w:rPr>
        <w:br/>
      </w:r>
      <w:r w:rsidRPr="00E15979">
        <w:rPr>
          <w:rFonts w:eastAsia="Times New Roman" w:cstheme="minorHAnsi"/>
          <w:b/>
          <w:bCs/>
          <w:szCs w:val="24"/>
          <w:lang w:eastAsia="da-DK"/>
        </w:rPr>
        <w:t>Efficacy (e)</w:t>
      </w:r>
      <w:r w:rsidRPr="00E15979">
        <w:rPr>
          <w:rFonts w:eastAsia="Times New Roman" w:cstheme="minorHAnsi"/>
          <w:b/>
          <w:bCs/>
          <w:szCs w:val="24"/>
          <w:lang w:eastAsia="da-DK"/>
        </w:rPr>
        <w:br/>
      </w:r>
      <w:r w:rsidRPr="00E15979">
        <w:rPr>
          <w:rFonts w:eastAsia="Times New Roman" w:cstheme="minorHAnsi"/>
          <w:szCs w:val="24"/>
          <w:lang w:eastAsia="da-DK"/>
        </w:rPr>
        <w:t>Efficacy siger noget om det agonistiske lægemiddels effekt - altså, hvor kraftfuldt dets inducerede respons er</w:t>
      </w:r>
      <w:r w:rsidR="007B4B6D">
        <w:rPr>
          <w:rFonts w:eastAsia="Times New Roman" w:cstheme="minorHAnsi"/>
          <w:szCs w:val="24"/>
          <w:lang w:eastAsia="da-DK"/>
        </w:rPr>
        <w:t xml:space="preserve">, når først responset </w:t>
      </w:r>
      <w:r w:rsidR="007B4B6D">
        <w:rPr>
          <w:rFonts w:eastAsia="Times New Roman" w:cstheme="minorHAnsi"/>
          <w:i/>
          <w:szCs w:val="24"/>
          <w:lang w:eastAsia="da-DK"/>
        </w:rPr>
        <w:t xml:space="preserve">er </w:t>
      </w:r>
      <w:r w:rsidR="007B4B6D">
        <w:rPr>
          <w:rFonts w:eastAsia="Times New Roman" w:cstheme="minorHAnsi"/>
          <w:szCs w:val="24"/>
          <w:lang w:eastAsia="da-DK"/>
        </w:rPr>
        <w:t>blevet udløst (potensafhængigt)</w:t>
      </w:r>
      <w:r w:rsidRPr="00E15979">
        <w:rPr>
          <w:rFonts w:eastAsia="Times New Roman" w:cstheme="minorHAnsi"/>
          <w:szCs w:val="24"/>
          <w:lang w:eastAsia="da-DK"/>
        </w:rPr>
        <w:t xml:space="preserve">. </w:t>
      </w:r>
      <w:r w:rsidRPr="00E15979">
        <w:rPr>
          <w:rFonts w:eastAsia="Times New Roman" w:cstheme="minorHAnsi"/>
          <w:szCs w:val="24"/>
          <w:lang w:eastAsia="da-DK"/>
        </w:rPr>
        <w:br/>
        <w:t xml:space="preserve">Et agonistisk lægemiddel der kun udviser ringe efficacy, benævnes en </w:t>
      </w:r>
      <w:r w:rsidRPr="00E15979">
        <w:rPr>
          <w:rFonts w:eastAsia="Times New Roman" w:cstheme="minorHAnsi"/>
          <w:i/>
          <w:iCs/>
          <w:szCs w:val="24"/>
          <w:lang w:eastAsia="da-DK"/>
        </w:rPr>
        <w:t>partiel agonist</w:t>
      </w:r>
      <w:r w:rsidRPr="00E15979">
        <w:rPr>
          <w:rFonts w:eastAsia="Times New Roman" w:cstheme="minorHAnsi"/>
          <w:szCs w:val="24"/>
          <w:lang w:eastAsia="da-DK"/>
        </w:rPr>
        <w:t xml:space="preserve">. </w:t>
      </w:r>
      <w:r w:rsidRPr="00E15979">
        <w:rPr>
          <w:rFonts w:eastAsia="Times New Roman" w:cstheme="minorHAnsi"/>
          <w:szCs w:val="24"/>
          <w:lang w:eastAsia="da-DK"/>
        </w:rPr>
        <w:br/>
      </w:r>
      <w:r w:rsidR="00654146">
        <w:rPr>
          <w:rFonts w:eastAsia="Times New Roman" w:cstheme="minorHAnsi"/>
          <w:szCs w:val="24"/>
          <w:lang w:eastAsia="da-DK"/>
        </w:rPr>
        <w:br/>
      </w:r>
      <w:r w:rsidRPr="00E15979">
        <w:rPr>
          <w:rFonts w:eastAsia="Times New Roman" w:cstheme="minorHAnsi"/>
          <w:szCs w:val="24"/>
          <w:u w:val="single"/>
          <w:lang w:eastAsia="da-DK"/>
        </w:rPr>
        <w:t>Et lægemiddel med høj potens kan have lav efficacy og omvendt.</w:t>
      </w:r>
      <w:r w:rsidRPr="00E15979">
        <w:rPr>
          <w:rFonts w:eastAsia="Times New Roman" w:cstheme="minorHAnsi"/>
          <w:szCs w:val="24"/>
          <w:u w:val="single"/>
          <w:lang w:eastAsia="da-DK"/>
        </w:rPr>
        <w:br/>
      </w:r>
      <w:r w:rsidRPr="00E15979">
        <w:rPr>
          <w:rFonts w:eastAsia="Times New Roman" w:cstheme="minorHAnsi"/>
          <w:szCs w:val="24"/>
          <w:lang w:eastAsia="da-DK"/>
        </w:rPr>
        <w:t>Et lægemiddel med høj potens og lav efficacy vil virke hurtigt og ved lave koncentrationer, men udløse et mindre respons, end et lægemiddel med lav potens og høj efficacy, som omvendt virker langsomt og ved højre koncentrationer men derimod udløser et større respons.</w:t>
      </w:r>
      <w:r w:rsidRPr="00E15979">
        <w:rPr>
          <w:rFonts w:eastAsia="Times New Roman" w:cstheme="minorHAnsi"/>
          <w:szCs w:val="24"/>
          <w:lang w:eastAsia="da-DK"/>
        </w:rPr>
        <w:br/>
        <w:t xml:space="preserve">Der findes åbenlyst også lægemidler med høj potens og høj efficacy eller omvendt lav potens og lav efficacy.   </w:t>
      </w:r>
      <w:r w:rsidR="00654146">
        <w:rPr>
          <w:rFonts w:eastAsia="Times New Roman" w:cstheme="minorHAnsi"/>
          <w:szCs w:val="24"/>
          <w:lang w:eastAsia="da-DK"/>
        </w:rPr>
        <w:br/>
      </w:r>
    </w:p>
    <w:p w:rsidR="003A1057" w:rsidRDefault="003A1057" w:rsidP="003A1057">
      <w:pPr>
        <w:spacing w:after="0" w:line="240" w:lineRule="auto"/>
        <w:rPr>
          <w:rFonts w:eastAsia="Times New Roman" w:cstheme="minorHAnsi"/>
          <w:szCs w:val="24"/>
          <w:lang w:eastAsia="da-DK"/>
        </w:rPr>
      </w:pPr>
      <w:r w:rsidRPr="003A1057">
        <w:rPr>
          <w:rFonts w:eastAsia="Times New Roman" w:cstheme="minorHAnsi"/>
          <w:b/>
          <w:szCs w:val="24"/>
          <w:lang w:eastAsia="da-DK"/>
        </w:rPr>
        <w:t>Affinitet</w:t>
      </w:r>
      <w:r w:rsidRPr="003A1057">
        <w:rPr>
          <w:rFonts w:eastAsia="Times New Roman" w:cstheme="minorHAnsi"/>
          <w:b/>
          <w:szCs w:val="24"/>
          <w:vertAlign w:val="subscript"/>
          <w:lang w:eastAsia="da-DK"/>
        </w:rPr>
        <w:t xml:space="preserve"> </w:t>
      </w:r>
      <w:r w:rsidRPr="003A1057">
        <w:rPr>
          <w:rFonts w:eastAsia="Times New Roman" w:cstheme="minorHAnsi"/>
          <w:b/>
          <w:szCs w:val="24"/>
          <w:lang w:eastAsia="da-DK"/>
        </w:rPr>
        <w:t>(K</w:t>
      </w:r>
      <w:r w:rsidRPr="003A1057">
        <w:rPr>
          <w:rFonts w:eastAsia="Times New Roman" w:cstheme="minorHAnsi"/>
          <w:b/>
          <w:szCs w:val="24"/>
          <w:vertAlign w:val="subscript"/>
          <w:lang w:eastAsia="da-DK"/>
        </w:rPr>
        <w:t>d</w:t>
      </w:r>
      <w:r w:rsidRPr="003A1057">
        <w:rPr>
          <w:rFonts w:eastAsia="Times New Roman" w:cstheme="minorHAnsi"/>
          <w:b/>
          <w:szCs w:val="24"/>
          <w:lang w:eastAsia="da-DK"/>
        </w:rPr>
        <w:t>)</w:t>
      </w:r>
      <w:r>
        <w:rPr>
          <w:rFonts w:eastAsia="Times New Roman" w:cstheme="minorHAnsi"/>
          <w:szCs w:val="24"/>
          <w:lang w:eastAsia="da-DK"/>
        </w:rPr>
        <w:br/>
        <w:t xml:space="preserve">En </w:t>
      </w:r>
      <w:proofErr w:type="spellStart"/>
      <w:r>
        <w:rPr>
          <w:rFonts w:eastAsia="Times New Roman" w:cstheme="minorHAnsi"/>
          <w:szCs w:val="24"/>
          <w:lang w:eastAsia="da-DK"/>
        </w:rPr>
        <w:t>ligands</w:t>
      </w:r>
      <w:proofErr w:type="spellEnd"/>
      <w:r>
        <w:rPr>
          <w:rFonts w:eastAsia="Times New Roman" w:cstheme="minorHAnsi"/>
          <w:szCs w:val="24"/>
          <w:lang w:eastAsia="da-DK"/>
        </w:rPr>
        <w:t xml:space="preserve"> affinitet beskriver dens evne til at associere med dens receptor. </w:t>
      </w:r>
    </w:p>
    <w:p w:rsidR="003A1057" w:rsidRDefault="003A1057" w:rsidP="003A1057">
      <w:pPr>
        <w:spacing w:after="0" w:line="240" w:lineRule="auto"/>
        <w:rPr>
          <w:rFonts w:eastAsia="Times New Roman" w:cstheme="minorHAnsi"/>
          <w:szCs w:val="24"/>
          <w:lang w:eastAsia="da-DK"/>
        </w:rPr>
      </w:pPr>
    </w:p>
    <w:p w:rsidR="003A1057" w:rsidRPr="003A1057" w:rsidRDefault="003A1057" w:rsidP="003A1057">
      <w:pPr>
        <w:spacing w:after="0" w:line="240" w:lineRule="auto"/>
        <w:rPr>
          <w:rFonts w:eastAsia="Times New Roman" w:cstheme="minorHAnsi"/>
          <w:szCs w:val="24"/>
          <w:lang w:eastAsia="da-DK"/>
        </w:rPr>
      </w:pPr>
      <w:r>
        <w:rPr>
          <w:rFonts w:eastAsia="Times New Roman" w:cstheme="minorHAnsi"/>
          <w:szCs w:val="24"/>
          <w:lang w:eastAsia="da-DK"/>
        </w:rPr>
        <w:t xml:space="preserve">Affinitet udtrykkes ved </w:t>
      </w:r>
      <w:r>
        <w:rPr>
          <w:rFonts w:eastAsia="Times New Roman" w:cstheme="minorHAnsi"/>
          <w:i/>
          <w:szCs w:val="24"/>
          <w:lang w:eastAsia="da-DK"/>
        </w:rPr>
        <w:t xml:space="preserve">dissociationskonstanten </w:t>
      </w:r>
      <w:r>
        <w:rPr>
          <w:rFonts w:eastAsia="Times New Roman" w:cstheme="minorHAnsi"/>
          <w:szCs w:val="24"/>
          <w:lang w:eastAsia="da-DK"/>
        </w:rPr>
        <w:t>K</w:t>
      </w:r>
      <w:r>
        <w:rPr>
          <w:rFonts w:eastAsia="Times New Roman" w:cstheme="minorHAnsi"/>
          <w:szCs w:val="24"/>
          <w:vertAlign w:val="subscript"/>
          <w:lang w:eastAsia="da-DK"/>
        </w:rPr>
        <w:t>d</w:t>
      </w:r>
      <w:r>
        <w:rPr>
          <w:rFonts w:eastAsia="Times New Roman" w:cstheme="minorHAnsi"/>
          <w:szCs w:val="24"/>
          <w:lang w:eastAsia="da-DK"/>
        </w:rPr>
        <w:t xml:space="preserve">. </w:t>
      </w:r>
      <w:r>
        <w:rPr>
          <w:rFonts w:eastAsia="Times New Roman" w:cstheme="minorHAnsi"/>
          <w:szCs w:val="24"/>
          <w:lang w:eastAsia="da-DK"/>
        </w:rPr>
        <w:br/>
        <w:t>K</w:t>
      </w:r>
      <w:r>
        <w:rPr>
          <w:rFonts w:eastAsia="Times New Roman" w:cstheme="minorHAnsi"/>
          <w:szCs w:val="24"/>
          <w:vertAlign w:val="subscript"/>
          <w:lang w:eastAsia="da-DK"/>
        </w:rPr>
        <w:t xml:space="preserve">d </w:t>
      </w:r>
      <w:r>
        <w:rPr>
          <w:rFonts w:eastAsia="Times New Roman" w:cstheme="minorHAnsi"/>
          <w:szCs w:val="24"/>
          <w:lang w:eastAsia="da-DK"/>
        </w:rPr>
        <w:t xml:space="preserve">= den </w:t>
      </w:r>
      <w:r w:rsidRPr="00654146">
        <w:rPr>
          <w:rFonts w:eastAsia="Times New Roman" w:cstheme="minorHAnsi"/>
          <w:i/>
          <w:szCs w:val="24"/>
          <w:lang w:eastAsia="da-DK"/>
        </w:rPr>
        <w:t>koncentration</w:t>
      </w:r>
      <w:r>
        <w:rPr>
          <w:rFonts w:eastAsia="Times New Roman" w:cstheme="minorHAnsi"/>
          <w:szCs w:val="24"/>
          <w:lang w:eastAsia="da-DK"/>
        </w:rPr>
        <w:t xml:space="preserve"> af et lægemiddel ved hvilken halvdelen af de tilgængelige </w:t>
      </w:r>
      <w:proofErr w:type="spellStart"/>
      <w:r>
        <w:rPr>
          <w:rFonts w:eastAsia="Times New Roman" w:cstheme="minorHAnsi"/>
          <w:szCs w:val="24"/>
          <w:lang w:eastAsia="da-DK"/>
        </w:rPr>
        <w:t>receptorbindingsites</w:t>
      </w:r>
      <w:proofErr w:type="spellEnd"/>
      <w:r>
        <w:rPr>
          <w:rFonts w:eastAsia="Times New Roman" w:cstheme="minorHAnsi"/>
          <w:szCs w:val="24"/>
          <w:lang w:eastAsia="da-DK"/>
        </w:rPr>
        <w:t xml:space="preserve"> (B</w:t>
      </w:r>
      <w:r>
        <w:rPr>
          <w:rFonts w:eastAsia="Times New Roman" w:cstheme="minorHAnsi"/>
          <w:szCs w:val="24"/>
          <w:vertAlign w:val="subscript"/>
          <w:lang w:eastAsia="da-DK"/>
        </w:rPr>
        <w:t>max</w:t>
      </w:r>
      <w:r>
        <w:rPr>
          <w:rFonts w:eastAsia="Times New Roman" w:cstheme="minorHAnsi"/>
          <w:szCs w:val="24"/>
          <w:lang w:eastAsia="da-DK"/>
        </w:rPr>
        <w:t xml:space="preserve"> er lægemiddelbundne)</w:t>
      </w:r>
      <w:r>
        <w:rPr>
          <w:rFonts w:eastAsia="Times New Roman" w:cstheme="minorHAnsi"/>
          <w:szCs w:val="24"/>
          <w:lang w:eastAsia="da-DK"/>
        </w:rPr>
        <w:br/>
        <w:t>K</w:t>
      </w:r>
      <w:r>
        <w:rPr>
          <w:rFonts w:eastAsia="Times New Roman" w:cstheme="minorHAnsi"/>
          <w:szCs w:val="24"/>
          <w:vertAlign w:val="subscript"/>
          <w:lang w:eastAsia="da-DK"/>
        </w:rPr>
        <w:t>d</w:t>
      </w:r>
      <w:r>
        <w:rPr>
          <w:rFonts w:eastAsia="Times New Roman" w:cstheme="minorHAnsi"/>
          <w:szCs w:val="24"/>
          <w:lang w:eastAsia="da-DK"/>
        </w:rPr>
        <w:t xml:space="preserve"> er altså et koncentrationsmål. Jo lavere K</w:t>
      </w:r>
      <w:r>
        <w:rPr>
          <w:rFonts w:eastAsia="Times New Roman" w:cstheme="minorHAnsi"/>
          <w:szCs w:val="24"/>
          <w:vertAlign w:val="subscript"/>
          <w:lang w:eastAsia="da-DK"/>
        </w:rPr>
        <w:t>d</w:t>
      </w:r>
      <w:r>
        <w:rPr>
          <w:rFonts w:eastAsia="Times New Roman" w:cstheme="minorHAnsi"/>
          <w:szCs w:val="24"/>
          <w:lang w:eastAsia="da-DK"/>
        </w:rPr>
        <w:t xml:space="preserve">, jo højere affinitet har lægemidlet for sin receptor. </w:t>
      </w:r>
      <w:r>
        <w:rPr>
          <w:rFonts w:eastAsia="Times New Roman" w:cstheme="minorHAnsi"/>
          <w:szCs w:val="24"/>
          <w:lang w:eastAsia="da-DK"/>
        </w:rPr>
        <w:br/>
        <w:t>K</w:t>
      </w:r>
      <w:r>
        <w:rPr>
          <w:rFonts w:eastAsia="Times New Roman" w:cstheme="minorHAnsi"/>
          <w:szCs w:val="24"/>
          <w:vertAlign w:val="subscript"/>
          <w:lang w:eastAsia="da-DK"/>
        </w:rPr>
        <w:t>d</w:t>
      </w:r>
      <w:r>
        <w:rPr>
          <w:rFonts w:eastAsia="Times New Roman" w:cstheme="minorHAnsi"/>
          <w:szCs w:val="24"/>
          <w:lang w:eastAsia="da-DK"/>
        </w:rPr>
        <w:t xml:space="preserve"> kan desuden aflæses som den koncentration der giver 50 % af den maksimale virkning. </w:t>
      </w:r>
      <w:r>
        <w:rPr>
          <w:rFonts w:eastAsia="Times New Roman" w:cstheme="minorHAnsi"/>
          <w:szCs w:val="24"/>
          <w:lang w:eastAsia="da-DK"/>
        </w:rPr>
        <w:br/>
      </w:r>
      <w:r>
        <w:br/>
      </w:r>
      <w:r>
        <w:rPr>
          <w:rFonts w:eastAsia="Times New Roman" w:cstheme="minorHAnsi"/>
          <w:szCs w:val="24"/>
          <w:lang w:eastAsia="da-DK"/>
        </w:rPr>
        <w:t xml:space="preserve">Potens hænger sammen med affinitet. </w:t>
      </w:r>
      <w:r>
        <w:rPr>
          <w:rFonts w:eastAsia="Times New Roman" w:cstheme="minorHAnsi"/>
          <w:szCs w:val="24"/>
          <w:lang w:eastAsia="da-DK"/>
        </w:rPr>
        <w:br/>
        <w:t xml:space="preserve">Hvis en agonist har svært ved at associere med dens receptor, altså hvis den har lav affinitet herfor, kræver det højere koncentrationer at </w:t>
      </w:r>
      <w:r w:rsidRPr="003A1057">
        <w:rPr>
          <w:rFonts w:eastAsia="Times New Roman" w:cstheme="minorHAnsi"/>
          <w:i/>
          <w:szCs w:val="24"/>
          <w:lang w:eastAsia="da-DK"/>
        </w:rPr>
        <w:t>igangsætte</w:t>
      </w:r>
      <w:r>
        <w:rPr>
          <w:rFonts w:eastAsia="Times New Roman" w:cstheme="minorHAnsi"/>
          <w:szCs w:val="24"/>
          <w:lang w:eastAsia="da-DK"/>
        </w:rPr>
        <w:t xml:space="preserve"> et respons, end hvis agonisten har nemt ved at associere med receptoren.</w:t>
      </w:r>
      <w:r>
        <w:rPr>
          <w:rFonts w:eastAsia="Times New Roman" w:cstheme="minorHAnsi"/>
          <w:szCs w:val="24"/>
          <w:lang w:eastAsia="da-DK"/>
        </w:rPr>
        <w:br/>
      </w:r>
      <w:r>
        <w:br/>
        <w:t xml:space="preserve">Hvor et lægemiddels potens </w:t>
      </w:r>
      <w:r>
        <w:rPr>
          <w:i/>
        </w:rPr>
        <w:t>kun</w:t>
      </w:r>
      <w:r>
        <w:t xml:space="preserve"> bruges om agonister, bruges affinitet både om agonister og antagonister. </w:t>
      </w:r>
      <w:r>
        <w:lastRenderedPageBreak/>
        <w:t>Dette skyldes at begge lægemiddeltyper vil have en større eller mindre tilbøjelighed til at ville associere med deres individuelt foretrukne receptor (affinitet), mens kun agonisten vil udløse et respons</w:t>
      </w:r>
      <w:r w:rsidR="00216245">
        <w:t xml:space="preserve"> (potens)</w:t>
      </w:r>
      <w:r>
        <w:t xml:space="preserve">, når den er bundet hertil. </w:t>
      </w:r>
      <w:r>
        <w:br/>
        <w:t xml:space="preserve">Potens siger jo netop noget om et lægemiddels evne til at udløse et respons, og da antagonisten </w:t>
      </w:r>
      <w:r w:rsidR="00265CF1">
        <w:t>pr. definition</w:t>
      </w:r>
      <w:r>
        <w:t xml:space="preserve"> </w:t>
      </w:r>
      <w:r w:rsidRPr="00265CF1">
        <w:rPr>
          <w:i/>
        </w:rPr>
        <w:t>ikke</w:t>
      </w:r>
      <w:r>
        <w:t xml:space="preserve"> </w:t>
      </w:r>
      <w:r w:rsidR="00265CF1">
        <w:t>gør således</w:t>
      </w:r>
      <w:r>
        <w:t xml:space="preserve">, giver det ej mening at </w:t>
      </w:r>
      <w:r w:rsidR="00265CF1">
        <w:t xml:space="preserve">bruge ordet herom. </w:t>
      </w:r>
      <w:bookmarkStart w:id="0" w:name="_GoBack"/>
      <w:bookmarkEnd w:id="0"/>
    </w:p>
    <w:p w:rsidR="003A1057" w:rsidRDefault="003A1057" w:rsidP="00E15979">
      <w:pPr>
        <w:spacing w:after="0" w:line="240" w:lineRule="auto"/>
        <w:rPr>
          <w:rFonts w:eastAsia="Times New Roman" w:cstheme="minorHAnsi"/>
          <w:b/>
          <w:szCs w:val="24"/>
          <w:lang w:eastAsia="da-DK"/>
        </w:rPr>
      </w:pPr>
    </w:p>
    <w:p w:rsidR="00654146" w:rsidRDefault="00654146" w:rsidP="00E15979">
      <w:pPr>
        <w:spacing w:after="0" w:line="240" w:lineRule="auto"/>
        <w:rPr>
          <w:rFonts w:eastAsia="Times New Roman" w:cstheme="minorHAnsi"/>
          <w:b/>
          <w:szCs w:val="24"/>
          <w:lang w:eastAsia="da-DK"/>
        </w:rPr>
      </w:pPr>
      <w:r>
        <w:rPr>
          <w:rFonts w:eastAsia="Times New Roman" w:cstheme="minorHAnsi"/>
          <w:b/>
          <w:szCs w:val="24"/>
          <w:lang w:eastAsia="da-DK"/>
        </w:rPr>
        <w:t>Bindings</w:t>
      </w:r>
      <w:r w:rsidR="003A1057">
        <w:rPr>
          <w:rFonts w:eastAsia="Times New Roman" w:cstheme="minorHAnsi"/>
          <w:b/>
          <w:szCs w:val="24"/>
          <w:lang w:eastAsia="da-DK"/>
        </w:rPr>
        <w:t>kurver</w:t>
      </w:r>
    </w:p>
    <w:p w:rsidR="003A1057" w:rsidRPr="003A1057" w:rsidRDefault="003A1057" w:rsidP="003A1057">
      <w:pPr>
        <w:pStyle w:val="NormalWeb"/>
        <w:spacing w:before="0" w:beforeAutospacing="0" w:after="0" w:afterAutospacing="0"/>
        <w:rPr>
          <w:rFonts w:ascii="Calibri" w:hAnsi="Calibri" w:cs="Calibri"/>
          <w:sz w:val="22"/>
          <w:szCs w:val="22"/>
        </w:rPr>
      </w:pPr>
      <w:r w:rsidRPr="003A1057">
        <w:rPr>
          <w:rFonts w:ascii="Calibri" w:hAnsi="Calibri" w:cs="Calibri"/>
          <w:sz w:val="22"/>
          <w:szCs w:val="22"/>
        </w:rPr>
        <w:t>Beskriver densiteten af tilgængelige receptorer i en vævsprøve</w:t>
      </w:r>
      <w:r>
        <w:rPr>
          <w:rFonts w:ascii="Calibri" w:hAnsi="Calibri" w:cs="Calibri"/>
          <w:sz w:val="22"/>
          <w:szCs w:val="22"/>
        </w:rPr>
        <w:t xml:space="preserve"> (B</w:t>
      </w:r>
      <w:r>
        <w:rPr>
          <w:rFonts w:ascii="Calibri" w:hAnsi="Calibri" w:cs="Calibri"/>
          <w:sz w:val="22"/>
          <w:szCs w:val="22"/>
          <w:vertAlign w:val="subscript"/>
        </w:rPr>
        <w:t>max</w:t>
      </w:r>
      <w:r>
        <w:rPr>
          <w:rFonts w:ascii="Calibri" w:hAnsi="Calibri" w:cs="Calibri"/>
          <w:sz w:val="22"/>
          <w:szCs w:val="22"/>
        </w:rPr>
        <w:t>)</w:t>
      </w:r>
      <w:r w:rsidRPr="003A1057">
        <w:rPr>
          <w:rFonts w:ascii="Calibri" w:hAnsi="Calibri" w:cs="Calibri"/>
          <w:sz w:val="22"/>
          <w:szCs w:val="22"/>
        </w:rPr>
        <w:t xml:space="preserve"> og ligandens affinitet herfor</w:t>
      </w:r>
      <w:r>
        <w:rPr>
          <w:rFonts w:ascii="Calibri" w:hAnsi="Calibri" w:cs="Calibri"/>
          <w:sz w:val="22"/>
          <w:szCs w:val="22"/>
        </w:rPr>
        <w:t xml:space="preserve"> (K</w:t>
      </w:r>
      <w:r>
        <w:rPr>
          <w:rFonts w:ascii="Calibri" w:hAnsi="Calibri" w:cs="Calibri"/>
          <w:sz w:val="22"/>
          <w:szCs w:val="22"/>
          <w:vertAlign w:val="subscript"/>
        </w:rPr>
        <w:t>d</w:t>
      </w:r>
      <w:r>
        <w:rPr>
          <w:rFonts w:ascii="Calibri" w:hAnsi="Calibri" w:cs="Calibri"/>
          <w:sz w:val="22"/>
          <w:szCs w:val="22"/>
        </w:rPr>
        <w:t>)</w:t>
      </w:r>
      <w:r w:rsidRPr="003A1057">
        <w:rPr>
          <w:rFonts w:ascii="Calibri" w:hAnsi="Calibri" w:cs="Calibri"/>
          <w:sz w:val="22"/>
          <w:szCs w:val="22"/>
        </w:rPr>
        <w:t xml:space="preserve">. </w:t>
      </w:r>
      <w:r w:rsidRPr="003A1057">
        <w:rPr>
          <w:rFonts w:ascii="Calibri" w:hAnsi="Calibri" w:cs="Calibri"/>
          <w:sz w:val="22"/>
          <w:szCs w:val="22"/>
        </w:rPr>
        <w:br/>
        <w:t> </w:t>
      </w:r>
    </w:p>
    <w:p w:rsidR="003A1057" w:rsidRDefault="003A1057" w:rsidP="003A1057">
      <w:pPr>
        <w:pStyle w:val="NormalWeb"/>
        <w:spacing w:before="0" w:beforeAutospacing="0" w:after="0" w:afterAutospacing="0"/>
        <w:rPr>
          <w:rFonts w:ascii="Calibri" w:hAnsi="Calibri" w:cs="Calibri"/>
          <w:sz w:val="22"/>
          <w:szCs w:val="22"/>
        </w:rPr>
      </w:pPr>
      <w:r>
        <w:rPr>
          <w:rFonts w:ascii="Calibri" w:hAnsi="Calibri" w:cs="Calibri"/>
          <w:noProof/>
          <w:sz w:val="22"/>
          <w:szCs w:val="22"/>
        </w:rPr>
        <w:drawing>
          <wp:inline distT="0" distB="0" distL="0" distR="0">
            <wp:extent cx="4349750" cy="2800350"/>
            <wp:effectExtent l="0" t="0" r="0" b="0"/>
            <wp:docPr id="8" name="Bille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49750" cy="2800350"/>
                    </a:xfrm>
                    <a:prstGeom prst="rect">
                      <a:avLst/>
                    </a:prstGeom>
                    <a:noFill/>
                    <a:ln>
                      <a:noFill/>
                    </a:ln>
                  </pic:spPr>
                </pic:pic>
              </a:graphicData>
            </a:graphic>
          </wp:inline>
        </w:drawing>
      </w:r>
    </w:p>
    <w:p w:rsidR="003A1057" w:rsidRPr="003A1057" w:rsidRDefault="003A1057" w:rsidP="003A1057">
      <w:pPr>
        <w:pStyle w:val="NormalWeb"/>
        <w:spacing w:before="0" w:beforeAutospacing="0" w:after="0" w:afterAutospacing="0"/>
        <w:rPr>
          <w:rFonts w:ascii="Calibri" w:hAnsi="Calibri" w:cs="Calibri"/>
          <w:sz w:val="22"/>
          <w:szCs w:val="22"/>
        </w:rPr>
      </w:pPr>
      <w:r w:rsidRPr="003A1057">
        <w:rPr>
          <w:rFonts w:ascii="Calibri" w:hAnsi="Calibri" w:cs="Calibri"/>
          <w:b/>
          <w:bCs/>
          <w:color w:val="00B050"/>
          <w:sz w:val="22"/>
          <w:szCs w:val="22"/>
        </w:rPr>
        <w:t>B</w:t>
      </w:r>
      <w:r w:rsidRPr="003A1057">
        <w:rPr>
          <w:rFonts w:ascii="Calibri" w:hAnsi="Calibri" w:cs="Calibri"/>
          <w:b/>
          <w:bCs/>
          <w:color w:val="00B050"/>
          <w:sz w:val="22"/>
          <w:szCs w:val="22"/>
          <w:vertAlign w:val="subscript"/>
        </w:rPr>
        <w:t>max</w:t>
      </w:r>
      <w:r w:rsidRPr="003A1057">
        <w:rPr>
          <w:rFonts w:ascii="Calibri" w:hAnsi="Calibri" w:cs="Calibri"/>
          <w:sz w:val="22"/>
          <w:szCs w:val="22"/>
        </w:rPr>
        <w:br/>
        <w:t>= Maksimale tilgængelige binding sites/receptorer</w:t>
      </w:r>
    </w:p>
    <w:p w:rsidR="003A1057" w:rsidRPr="003A1057" w:rsidRDefault="003A1057" w:rsidP="003A1057">
      <w:pPr>
        <w:pStyle w:val="NormalWeb"/>
        <w:spacing w:before="0" w:beforeAutospacing="0" w:after="0" w:afterAutospacing="0"/>
        <w:rPr>
          <w:rFonts w:ascii="Calibri" w:hAnsi="Calibri" w:cs="Calibri"/>
          <w:sz w:val="22"/>
          <w:szCs w:val="22"/>
        </w:rPr>
      </w:pPr>
      <w:r w:rsidRPr="003A1057">
        <w:rPr>
          <w:rFonts w:ascii="Calibri" w:hAnsi="Calibri" w:cs="Calibri"/>
          <w:sz w:val="22"/>
          <w:szCs w:val="22"/>
        </w:rPr>
        <w:br/>
      </w:r>
      <w:r w:rsidRPr="003A1057">
        <w:rPr>
          <w:rFonts w:ascii="Calibri" w:hAnsi="Calibri" w:cs="Calibri"/>
          <w:b/>
          <w:bCs/>
          <w:color w:val="FF0000"/>
          <w:sz w:val="22"/>
          <w:szCs w:val="22"/>
        </w:rPr>
        <w:t>K</w:t>
      </w:r>
      <w:r w:rsidRPr="003A1057">
        <w:rPr>
          <w:rFonts w:ascii="Calibri" w:hAnsi="Calibri" w:cs="Calibri"/>
          <w:b/>
          <w:bCs/>
          <w:color w:val="FF0000"/>
          <w:sz w:val="22"/>
          <w:szCs w:val="22"/>
          <w:vertAlign w:val="subscript"/>
        </w:rPr>
        <w:t>d</w:t>
      </w:r>
      <w:r w:rsidRPr="003A1057">
        <w:rPr>
          <w:rFonts w:ascii="Calibri" w:hAnsi="Calibri" w:cs="Calibri"/>
          <w:sz w:val="22"/>
          <w:szCs w:val="22"/>
        </w:rPr>
        <w:br/>
        <w:t xml:space="preserve">= Den ligandkoncentration hvor halvdelen af de tilgængelige </w:t>
      </w:r>
      <w:proofErr w:type="spellStart"/>
      <w:r w:rsidR="00C527F9">
        <w:rPr>
          <w:rFonts w:ascii="Calibri" w:hAnsi="Calibri" w:cs="Calibri"/>
          <w:sz w:val="22"/>
          <w:szCs w:val="22"/>
        </w:rPr>
        <w:t>receptorbindingsites</w:t>
      </w:r>
      <w:proofErr w:type="spellEnd"/>
      <w:r w:rsidRPr="003A1057">
        <w:rPr>
          <w:rFonts w:ascii="Calibri" w:hAnsi="Calibri" w:cs="Calibri"/>
          <w:sz w:val="22"/>
          <w:szCs w:val="22"/>
        </w:rPr>
        <w:t xml:space="preserve"> (Bmax) er </w:t>
      </w:r>
      <w:r w:rsidR="00C527F9">
        <w:rPr>
          <w:rFonts w:ascii="Calibri" w:hAnsi="Calibri" w:cs="Calibri"/>
          <w:sz w:val="22"/>
          <w:szCs w:val="22"/>
        </w:rPr>
        <w:t>optagede</w:t>
      </w:r>
      <w:r w:rsidRPr="003A1057">
        <w:rPr>
          <w:rFonts w:ascii="Calibri" w:hAnsi="Calibri" w:cs="Calibri"/>
          <w:sz w:val="22"/>
          <w:szCs w:val="22"/>
        </w:rPr>
        <w:t>.</w:t>
      </w:r>
      <w:r w:rsidRPr="003A1057">
        <w:rPr>
          <w:rFonts w:ascii="Calibri" w:hAnsi="Calibri" w:cs="Calibri"/>
          <w:sz w:val="22"/>
          <w:szCs w:val="22"/>
        </w:rPr>
        <w:br/>
      </w:r>
      <w:r w:rsidRPr="003A1057">
        <w:rPr>
          <w:rFonts w:ascii="Calibri" w:hAnsi="Calibri" w:cs="Calibri"/>
          <w:sz w:val="22"/>
          <w:szCs w:val="22"/>
        </w:rPr>
        <w:br/>
        <w:t>Jo højere Kd et givent lægemiddel</w:t>
      </w:r>
      <w:r w:rsidR="00C527F9">
        <w:rPr>
          <w:rFonts w:ascii="Calibri" w:hAnsi="Calibri" w:cs="Calibri"/>
          <w:sz w:val="22"/>
          <w:szCs w:val="22"/>
        </w:rPr>
        <w:t xml:space="preserve"> har</w:t>
      </w:r>
      <w:r w:rsidRPr="003A1057">
        <w:rPr>
          <w:rFonts w:ascii="Calibri" w:hAnsi="Calibri" w:cs="Calibri"/>
          <w:sz w:val="22"/>
          <w:szCs w:val="22"/>
        </w:rPr>
        <w:t>, jo lavere affinitet</w:t>
      </w:r>
      <w:r w:rsidR="00C527F9">
        <w:rPr>
          <w:rFonts w:ascii="Calibri" w:hAnsi="Calibri" w:cs="Calibri"/>
          <w:sz w:val="22"/>
          <w:szCs w:val="22"/>
        </w:rPr>
        <w:t xml:space="preserve"> har det</w:t>
      </w:r>
      <w:r w:rsidRPr="003A1057">
        <w:rPr>
          <w:rFonts w:ascii="Calibri" w:hAnsi="Calibri" w:cs="Calibri"/>
          <w:sz w:val="22"/>
          <w:szCs w:val="22"/>
        </w:rPr>
        <w:t xml:space="preserve"> for </w:t>
      </w:r>
      <w:r w:rsidR="00C527F9">
        <w:rPr>
          <w:rFonts w:ascii="Calibri" w:hAnsi="Calibri" w:cs="Calibri"/>
          <w:sz w:val="22"/>
          <w:szCs w:val="22"/>
        </w:rPr>
        <w:t xml:space="preserve">dets receptor. </w:t>
      </w:r>
      <w:r w:rsidR="00C527F9">
        <w:rPr>
          <w:rFonts w:ascii="Calibri" w:hAnsi="Calibri" w:cs="Calibri"/>
          <w:sz w:val="22"/>
          <w:szCs w:val="22"/>
        </w:rPr>
        <w:br/>
        <w:t xml:space="preserve">Altså, hvis der skal en høj koncentration til for at mætte halvdelen af de tilgængelige </w:t>
      </w:r>
      <w:proofErr w:type="spellStart"/>
      <w:r w:rsidR="00C527F9">
        <w:rPr>
          <w:rFonts w:ascii="Calibri" w:hAnsi="Calibri" w:cs="Calibri"/>
          <w:sz w:val="22"/>
          <w:szCs w:val="22"/>
        </w:rPr>
        <w:t>receptorbindingsites</w:t>
      </w:r>
      <w:proofErr w:type="spellEnd"/>
      <w:r w:rsidR="00C527F9">
        <w:rPr>
          <w:rFonts w:ascii="Calibri" w:hAnsi="Calibri" w:cs="Calibri"/>
          <w:sz w:val="22"/>
          <w:szCs w:val="22"/>
        </w:rPr>
        <w:t xml:space="preserve">, må lægemidlet have en lav affinitet for receptoren. </w:t>
      </w:r>
    </w:p>
    <w:p w:rsidR="003A1057" w:rsidRDefault="003A1057" w:rsidP="003A1057">
      <w:pPr>
        <w:pStyle w:val="NormalWeb"/>
        <w:spacing w:before="0" w:beforeAutospacing="0" w:after="0" w:afterAutospacing="0"/>
        <w:rPr>
          <w:rFonts w:ascii="Calibri" w:hAnsi="Calibri" w:cs="Calibri"/>
          <w:sz w:val="22"/>
          <w:szCs w:val="22"/>
        </w:rPr>
      </w:pPr>
      <w:r>
        <w:rPr>
          <w:rFonts w:ascii="Calibri" w:hAnsi="Calibri" w:cs="Calibri"/>
          <w:sz w:val="22"/>
          <w:szCs w:val="22"/>
        </w:rPr>
        <w:t> </w:t>
      </w:r>
    </w:p>
    <w:p w:rsidR="003A1057" w:rsidRDefault="003A1057" w:rsidP="003A1057">
      <w:pPr>
        <w:pStyle w:val="NormalWeb"/>
        <w:spacing w:before="0" w:beforeAutospacing="0" w:after="0" w:afterAutospacing="0"/>
        <w:rPr>
          <w:rFonts w:ascii="Calibri" w:hAnsi="Calibri" w:cs="Calibri"/>
          <w:sz w:val="22"/>
          <w:szCs w:val="22"/>
        </w:rPr>
      </w:pPr>
      <w:r>
        <w:rPr>
          <w:rFonts w:ascii="Calibri" w:hAnsi="Calibri" w:cs="Calibri"/>
          <w:noProof/>
          <w:sz w:val="22"/>
          <w:szCs w:val="22"/>
        </w:rPr>
        <w:lastRenderedPageBreak/>
        <w:drawing>
          <wp:inline distT="0" distB="0" distL="0" distR="0">
            <wp:extent cx="4832350" cy="2618196"/>
            <wp:effectExtent l="0" t="0" r="6350" b="0"/>
            <wp:docPr id="5" name="Billede 5" descr="ro '00'00-0 &#10;(j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o '00'00-0 &#10;(j "/>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66849" cy="2636888"/>
                    </a:xfrm>
                    <a:prstGeom prst="rect">
                      <a:avLst/>
                    </a:prstGeom>
                    <a:noFill/>
                    <a:ln>
                      <a:noFill/>
                    </a:ln>
                  </pic:spPr>
                </pic:pic>
              </a:graphicData>
            </a:graphic>
          </wp:inline>
        </w:drawing>
      </w:r>
    </w:p>
    <w:p w:rsidR="008657A7" w:rsidRPr="008657A7" w:rsidRDefault="008657A7" w:rsidP="008657A7">
      <w:pPr>
        <w:pStyle w:val="NormalWeb"/>
        <w:spacing w:before="0" w:beforeAutospacing="0" w:after="0" w:afterAutospacing="0"/>
        <w:rPr>
          <w:rFonts w:ascii="Calibri" w:hAnsi="Calibri" w:cs="Calibri"/>
          <w:i/>
          <w:sz w:val="22"/>
          <w:szCs w:val="22"/>
        </w:rPr>
      </w:pPr>
      <w:r>
        <w:rPr>
          <w:rFonts w:ascii="Calibri" w:hAnsi="Calibri" w:cs="Calibri"/>
          <w:noProof/>
          <w:sz w:val="22"/>
          <w:szCs w:val="22"/>
        </w:rPr>
        <w:drawing>
          <wp:anchor distT="0" distB="0" distL="114300" distR="114300" simplePos="0" relativeHeight="251660288" behindDoc="0" locked="0" layoutInCell="1" allowOverlap="1">
            <wp:simplePos x="0" y="0"/>
            <wp:positionH relativeFrom="margin">
              <wp:align>right</wp:align>
            </wp:positionH>
            <wp:positionV relativeFrom="paragraph">
              <wp:posOffset>3115945</wp:posOffset>
            </wp:positionV>
            <wp:extent cx="3079115" cy="2209800"/>
            <wp:effectExtent l="0" t="0" r="6985" b="0"/>
            <wp:wrapSquare wrapText="bothSides"/>
            <wp:docPr id="9" name="Billede 9" descr="100 &#10;Histamine &#10;(guinea pig heart) &#10;50 &#10;10-7 &#10;106 &#10;Acetylcholine &#10;(frog rectus muscle) &#10;104 10-3 &#10;10-2 &#10;Concentration (mol/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100 &#10;Histamine &#10;(guinea pig heart) &#10;50 &#10;10-7 &#10;106 &#10;Acetylcholine &#10;(frog rectus muscle) &#10;104 10-3 &#10;10-2 &#10;Concentration (mol/l) "/>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79115" cy="2209800"/>
                    </a:xfrm>
                    <a:prstGeom prst="rect">
                      <a:avLst/>
                    </a:prstGeom>
                    <a:noFill/>
                    <a:ln>
                      <a:noFill/>
                    </a:ln>
                  </pic:spPr>
                </pic:pic>
              </a:graphicData>
            </a:graphic>
            <wp14:sizeRelH relativeFrom="page">
              <wp14:pctWidth>0</wp14:pctWidth>
            </wp14:sizeRelH>
            <wp14:sizeRelV relativeFrom="page">
              <wp14:pctHeight>0</wp14:pctHeight>
            </wp14:sizeRelV>
          </wp:anchor>
        </w:drawing>
      </w:r>
      <w:r w:rsidR="003A1057" w:rsidRPr="00C527F9">
        <w:rPr>
          <w:rFonts w:ascii="Calibri" w:hAnsi="Calibri" w:cs="Calibri"/>
          <w:i/>
          <w:sz w:val="20"/>
          <w:szCs w:val="20"/>
        </w:rPr>
        <w:t xml:space="preserve">På </w:t>
      </w:r>
      <w:r w:rsidR="00C527F9">
        <w:rPr>
          <w:rFonts w:ascii="Calibri" w:hAnsi="Calibri" w:cs="Calibri"/>
          <w:i/>
          <w:sz w:val="20"/>
          <w:szCs w:val="20"/>
        </w:rPr>
        <w:t>(</w:t>
      </w:r>
      <w:r w:rsidR="003A1057" w:rsidRPr="00C527F9">
        <w:rPr>
          <w:rFonts w:ascii="Calibri" w:hAnsi="Calibri" w:cs="Calibri"/>
          <w:i/>
          <w:sz w:val="20"/>
          <w:szCs w:val="20"/>
        </w:rPr>
        <w:t>B) ses en almindelig bindingskurve</w:t>
      </w:r>
      <w:r w:rsidR="00C527F9">
        <w:rPr>
          <w:rFonts w:ascii="Calibri" w:hAnsi="Calibri" w:cs="Calibri"/>
          <w:i/>
          <w:sz w:val="20"/>
          <w:szCs w:val="20"/>
        </w:rPr>
        <w:t xml:space="preserve"> (hyperbel)</w:t>
      </w:r>
      <w:r w:rsidR="003A1057" w:rsidRPr="00C527F9">
        <w:rPr>
          <w:rFonts w:ascii="Calibri" w:hAnsi="Calibri" w:cs="Calibri"/>
          <w:i/>
          <w:sz w:val="20"/>
          <w:szCs w:val="20"/>
        </w:rPr>
        <w:t xml:space="preserve"> med binding</w:t>
      </w:r>
      <w:r w:rsidR="00C527F9">
        <w:rPr>
          <w:rFonts w:ascii="Calibri" w:hAnsi="Calibri" w:cs="Calibri"/>
          <w:i/>
          <w:sz w:val="20"/>
          <w:szCs w:val="20"/>
        </w:rPr>
        <w:t xml:space="preserve"> </w:t>
      </w:r>
      <w:r w:rsidR="003A1057" w:rsidRPr="00C527F9">
        <w:rPr>
          <w:rFonts w:ascii="Calibri" w:hAnsi="Calibri" w:cs="Calibri"/>
          <w:i/>
          <w:sz w:val="20"/>
          <w:szCs w:val="20"/>
        </w:rPr>
        <w:t>plottet mod koncentration</w:t>
      </w:r>
      <w:r w:rsidR="00C527F9">
        <w:rPr>
          <w:rFonts w:ascii="Calibri" w:hAnsi="Calibri" w:cs="Calibri"/>
          <w:i/>
          <w:sz w:val="20"/>
          <w:szCs w:val="20"/>
        </w:rPr>
        <w:t xml:space="preserve">. </w:t>
      </w:r>
      <w:r w:rsidR="00C527F9">
        <w:rPr>
          <w:rFonts w:ascii="Calibri" w:hAnsi="Calibri" w:cs="Calibri"/>
          <w:i/>
          <w:sz w:val="20"/>
          <w:szCs w:val="20"/>
        </w:rPr>
        <w:br/>
      </w:r>
      <w:r w:rsidR="003A1057" w:rsidRPr="00C527F9">
        <w:rPr>
          <w:rFonts w:ascii="Calibri" w:hAnsi="Calibri" w:cs="Calibri"/>
          <w:i/>
          <w:sz w:val="20"/>
          <w:szCs w:val="20"/>
        </w:rPr>
        <w:t xml:space="preserve">På </w:t>
      </w:r>
      <w:r w:rsidR="00C527F9">
        <w:rPr>
          <w:rFonts w:ascii="Calibri" w:hAnsi="Calibri" w:cs="Calibri"/>
          <w:i/>
          <w:sz w:val="20"/>
          <w:szCs w:val="20"/>
        </w:rPr>
        <w:t>(</w:t>
      </w:r>
      <w:r w:rsidR="003A1057" w:rsidRPr="00C527F9">
        <w:rPr>
          <w:rFonts w:ascii="Calibri" w:hAnsi="Calibri" w:cs="Calibri"/>
          <w:i/>
          <w:sz w:val="20"/>
          <w:szCs w:val="20"/>
        </w:rPr>
        <w:t xml:space="preserve">C) er binding plottet mod koncentration på en log-skala (sigmoid-kurve). </w:t>
      </w:r>
      <w:r w:rsidR="003A1057" w:rsidRPr="00C527F9">
        <w:rPr>
          <w:rFonts w:ascii="Calibri" w:hAnsi="Calibri" w:cs="Calibri"/>
          <w:i/>
          <w:sz w:val="20"/>
          <w:szCs w:val="20"/>
        </w:rPr>
        <w:br/>
      </w:r>
      <w:r w:rsidR="00C527F9">
        <w:rPr>
          <w:rFonts w:ascii="Calibri" w:hAnsi="Calibri" w:cs="Calibri"/>
          <w:i/>
          <w:iCs/>
          <w:sz w:val="20"/>
          <w:szCs w:val="20"/>
        </w:rPr>
        <w:t>Bemærk, at v</w:t>
      </w:r>
      <w:r w:rsidR="003A1057" w:rsidRPr="00C527F9">
        <w:rPr>
          <w:rFonts w:ascii="Calibri" w:hAnsi="Calibri" w:cs="Calibri"/>
          <w:i/>
          <w:iCs/>
          <w:sz w:val="20"/>
          <w:szCs w:val="20"/>
        </w:rPr>
        <w:t>ærdierne Kd og Bmax er uændrede kurverne imellem.</w:t>
      </w:r>
      <w:r w:rsidR="003A1057" w:rsidRPr="00C527F9">
        <w:rPr>
          <w:rFonts w:ascii="Calibri" w:hAnsi="Calibri" w:cs="Calibri"/>
          <w:i/>
          <w:sz w:val="22"/>
          <w:szCs w:val="22"/>
        </w:rPr>
        <w:t xml:space="preserve"> </w:t>
      </w:r>
      <w:r w:rsidR="003A1057" w:rsidRPr="00C527F9">
        <w:rPr>
          <w:rFonts w:ascii="Calibri" w:hAnsi="Calibri" w:cs="Calibri"/>
          <w:i/>
          <w:sz w:val="22"/>
          <w:szCs w:val="22"/>
        </w:rPr>
        <w:br/>
      </w:r>
      <w:r>
        <w:rPr>
          <w:rFonts w:cstheme="minorHAnsi"/>
          <w:b/>
        </w:rPr>
        <w:br/>
      </w:r>
      <w:r w:rsidRPr="008657A7">
        <w:rPr>
          <w:rFonts w:ascii="Calibri" w:hAnsi="Calibri" w:cs="Calibri"/>
          <w:b/>
          <w:bCs/>
          <w:color w:val="000000"/>
          <w:sz w:val="22"/>
          <w:szCs w:val="22"/>
        </w:rPr>
        <w:t>Dosis-effekt-kurver</w:t>
      </w:r>
      <w:r w:rsidRPr="008657A7">
        <w:rPr>
          <w:rFonts w:ascii="Calibri" w:hAnsi="Calibri" w:cs="Calibri"/>
          <w:b/>
          <w:bCs/>
          <w:color w:val="000000"/>
          <w:sz w:val="22"/>
          <w:szCs w:val="22"/>
        </w:rPr>
        <w:br/>
      </w:r>
      <w:r>
        <w:rPr>
          <w:rFonts w:ascii="Calibri" w:hAnsi="Calibri" w:cs="Calibri"/>
          <w:color w:val="000000"/>
          <w:sz w:val="22"/>
          <w:szCs w:val="22"/>
        </w:rPr>
        <w:t xml:space="preserve">Dosis-effekt-kurven beskriver forhold mellem koncentration af lægemiddel og maksimale efficacy. Denne er </w:t>
      </w:r>
      <w:r>
        <w:rPr>
          <w:rFonts w:ascii="Calibri" w:hAnsi="Calibri" w:cs="Calibri"/>
          <w:i/>
          <w:iCs/>
          <w:color w:val="000000"/>
          <w:sz w:val="22"/>
          <w:szCs w:val="22"/>
        </w:rPr>
        <w:t xml:space="preserve">sjældent </w:t>
      </w:r>
      <w:r>
        <w:rPr>
          <w:rFonts w:ascii="Calibri" w:hAnsi="Calibri" w:cs="Calibri"/>
          <w:color w:val="000000"/>
          <w:sz w:val="22"/>
          <w:szCs w:val="22"/>
        </w:rPr>
        <w:t>magen til bindingskurven</w:t>
      </w:r>
      <w:r w:rsidR="00297F08">
        <w:rPr>
          <w:rFonts w:ascii="Calibri" w:hAnsi="Calibri" w:cs="Calibri"/>
          <w:color w:val="000000"/>
          <w:sz w:val="22"/>
          <w:szCs w:val="22"/>
        </w:rPr>
        <w:t xml:space="preserve"> for samme </w:t>
      </w:r>
      <w:r w:rsidR="000C3301">
        <w:rPr>
          <w:rFonts w:ascii="Calibri" w:hAnsi="Calibri" w:cs="Calibri"/>
          <w:color w:val="000000"/>
          <w:sz w:val="22"/>
          <w:szCs w:val="22"/>
        </w:rPr>
        <w:t>agonist-receptor-kompleks</w:t>
      </w:r>
      <w:r>
        <w:rPr>
          <w:rFonts w:ascii="Calibri" w:hAnsi="Calibri" w:cs="Calibri"/>
          <w:color w:val="000000"/>
          <w:sz w:val="22"/>
          <w:szCs w:val="22"/>
        </w:rPr>
        <w:t xml:space="preserve">, da maksimal effekt (efficacy) </w:t>
      </w:r>
      <w:r w:rsidR="000C3301">
        <w:rPr>
          <w:rFonts w:ascii="Calibri" w:hAnsi="Calibri" w:cs="Calibri"/>
          <w:color w:val="000000"/>
          <w:sz w:val="22"/>
          <w:szCs w:val="22"/>
        </w:rPr>
        <w:t>ofte</w:t>
      </w:r>
      <w:r>
        <w:rPr>
          <w:rFonts w:ascii="Calibri" w:hAnsi="Calibri" w:cs="Calibri"/>
          <w:color w:val="000000"/>
          <w:sz w:val="22"/>
          <w:szCs w:val="22"/>
        </w:rPr>
        <w:t xml:space="preserve"> indtræffe</w:t>
      </w:r>
      <w:r w:rsidR="000C3301">
        <w:rPr>
          <w:rFonts w:ascii="Calibri" w:hAnsi="Calibri" w:cs="Calibri"/>
          <w:color w:val="000000"/>
          <w:sz w:val="22"/>
          <w:szCs w:val="22"/>
        </w:rPr>
        <w:t>r</w:t>
      </w:r>
      <w:r>
        <w:rPr>
          <w:rFonts w:ascii="Calibri" w:hAnsi="Calibri" w:cs="Calibri"/>
          <w:color w:val="000000"/>
          <w:sz w:val="22"/>
          <w:szCs w:val="22"/>
        </w:rPr>
        <w:t xml:space="preserve"> allered</w:t>
      </w:r>
      <w:r w:rsidR="000C3301">
        <w:rPr>
          <w:rFonts w:ascii="Calibri" w:hAnsi="Calibri" w:cs="Calibri"/>
          <w:color w:val="000000"/>
          <w:sz w:val="22"/>
          <w:szCs w:val="22"/>
        </w:rPr>
        <w:t>e</w:t>
      </w:r>
      <w:r>
        <w:rPr>
          <w:rFonts w:ascii="Calibri" w:hAnsi="Calibri" w:cs="Calibri"/>
          <w:color w:val="000000"/>
          <w:sz w:val="22"/>
          <w:szCs w:val="22"/>
        </w:rPr>
        <w:t xml:space="preserve"> inden alle tilgængelige binding sites er mættede. Effekt og </w:t>
      </w:r>
      <w:r w:rsidR="000C3301">
        <w:rPr>
          <w:rFonts w:ascii="Calibri" w:hAnsi="Calibri" w:cs="Calibri"/>
          <w:color w:val="000000"/>
          <w:sz w:val="22"/>
          <w:szCs w:val="22"/>
        </w:rPr>
        <w:t>antal mættede binding sites</w:t>
      </w:r>
      <w:r>
        <w:rPr>
          <w:rFonts w:ascii="Calibri" w:hAnsi="Calibri" w:cs="Calibri"/>
          <w:color w:val="000000"/>
          <w:sz w:val="22"/>
          <w:szCs w:val="22"/>
        </w:rPr>
        <w:t xml:space="preserve"> er altså sjældent ligefrem proportionale! </w:t>
      </w:r>
      <w:r>
        <w:rPr>
          <w:rFonts w:ascii="Calibri" w:hAnsi="Calibri" w:cs="Calibri"/>
          <w:color w:val="000000"/>
          <w:sz w:val="22"/>
          <w:szCs w:val="22"/>
        </w:rPr>
        <w:br/>
      </w:r>
      <w:r>
        <w:rPr>
          <w:rFonts w:ascii="Calibri" w:hAnsi="Calibri" w:cs="Calibri"/>
          <w:color w:val="000000"/>
          <w:sz w:val="22"/>
          <w:szCs w:val="22"/>
        </w:rPr>
        <w:br/>
        <w:t xml:space="preserve">Dosis-effekt-kurven er ofte mere 'interessant' end bindingskurven fra et farmakologisk perspektiv. Det er </w:t>
      </w:r>
      <w:r w:rsidR="000C3301">
        <w:rPr>
          <w:rFonts w:ascii="Calibri" w:hAnsi="Calibri" w:cs="Calibri"/>
          <w:color w:val="000000"/>
          <w:sz w:val="22"/>
          <w:szCs w:val="22"/>
        </w:rPr>
        <w:t xml:space="preserve">forholdet mellem </w:t>
      </w:r>
      <w:r>
        <w:rPr>
          <w:rFonts w:ascii="Calibri" w:hAnsi="Calibri" w:cs="Calibri"/>
          <w:color w:val="000000"/>
          <w:sz w:val="22"/>
          <w:szCs w:val="22"/>
        </w:rPr>
        <w:t xml:space="preserve">virkningen og dosering vi er interesseret i, ikke antallet af receptorer der maksimalt kan bindes i sig selv. </w:t>
      </w:r>
      <w:r>
        <w:rPr>
          <w:rFonts w:ascii="Calibri" w:hAnsi="Calibri" w:cs="Calibri"/>
          <w:color w:val="000000"/>
          <w:sz w:val="22"/>
          <w:szCs w:val="22"/>
        </w:rPr>
        <w:br/>
      </w:r>
      <w:r>
        <w:rPr>
          <w:rFonts w:ascii="Calibri" w:hAnsi="Calibri" w:cs="Calibri"/>
          <w:color w:val="000000"/>
          <w:sz w:val="22"/>
          <w:szCs w:val="22"/>
        </w:rPr>
        <w:br/>
      </w:r>
      <w:r>
        <w:rPr>
          <w:rFonts w:ascii="Calibri" w:hAnsi="Calibri" w:cs="Calibri"/>
          <w:i/>
          <w:iCs/>
          <w:color w:val="000000"/>
          <w:sz w:val="22"/>
          <w:szCs w:val="22"/>
        </w:rPr>
        <w:t>Hvad bruges dosis-effekt-kurven til?</w:t>
      </w:r>
      <w:r>
        <w:rPr>
          <w:rFonts w:ascii="Calibri" w:hAnsi="Calibri" w:cs="Calibri"/>
          <w:i/>
          <w:iCs/>
          <w:color w:val="000000"/>
          <w:sz w:val="22"/>
          <w:szCs w:val="22"/>
        </w:rPr>
        <w:br/>
      </w:r>
      <w:r>
        <w:rPr>
          <w:rFonts w:ascii="Calibri" w:hAnsi="Calibri" w:cs="Calibri"/>
          <w:color w:val="000000"/>
          <w:sz w:val="22"/>
          <w:szCs w:val="22"/>
        </w:rPr>
        <w:t>Dosis-effekt-kurven anvendes til at måle hvilken dosis der udløser medikamentets maksimale respons, E</w:t>
      </w:r>
      <w:r>
        <w:rPr>
          <w:rFonts w:ascii="Calibri" w:hAnsi="Calibri" w:cs="Calibri"/>
          <w:color w:val="000000"/>
          <w:sz w:val="22"/>
          <w:szCs w:val="22"/>
          <w:vertAlign w:val="subscript"/>
        </w:rPr>
        <w:t>max</w:t>
      </w:r>
      <w:r>
        <w:rPr>
          <w:rFonts w:ascii="Calibri" w:hAnsi="Calibri" w:cs="Calibri"/>
          <w:color w:val="000000"/>
          <w:sz w:val="22"/>
          <w:szCs w:val="22"/>
        </w:rPr>
        <w:t xml:space="preserve">. </w:t>
      </w:r>
      <w:r>
        <w:rPr>
          <w:rFonts w:ascii="Calibri" w:hAnsi="Calibri" w:cs="Calibri"/>
          <w:color w:val="000000"/>
          <w:sz w:val="22"/>
          <w:szCs w:val="22"/>
        </w:rPr>
        <w:br/>
        <w:t>Desuden taler man om EC</w:t>
      </w:r>
      <w:r>
        <w:rPr>
          <w:rFonts w:ascii="Calibri" w:hAnsi="Calibri" w:cs="Calibri"/>
          <w:color w:val="000000"/>
          <w:sz w:val="22"/>
          <w:szCs w:val="22"/>
          <w:vertAlign w:val="subscript"/>
        </w:rPr>
        <w:t>50</w:t>
      </w:r>
      <w:r>
        <w:rPr>
          <w:rFonts w:ascii="Calibri" w:hAnsi="Calibri" w:cs="Calibri"/>
          <w:color w:val="000000"/>
          <w:sz w:val="22"/>
          <w:szCs w:val="22"/>
        </w:rPr>
        <w:t xml:space="preserve">, som svarer til den dosering hvormed man opnår halvdelen af det maksimale respons for medikamentet. </w:t>
      </w:r>
      <w:r>
        <w:rPr>
          <w:rFonts w:ascii="Calibri" w:hAnsi="Calibri" w:cs="Calibri"/>
          <w:color w:val="000000"/>
          <w:sz w:val="22"/>
          <w:szCs w:val="22"/>
        </w:rPr>
        <w:br/>
      </w:r>
      <w:r>
        <w:rPr>
          <w:rFonts w:ascii="Calibri" w:hAnsi="Calibri" w:cs="Calibri"/>
          <w:color w:val="000000"/>
          <w:sz w:val="22"/>
          <w:szCs w:val="22"/>
        </w:rPr>
        <w:br/>
      </w:r>
      <w:r>
        <w:rPr>
          <w:rFonts w:ascii="Calibri" w:hAnsi="Calibri" w:cs="Calibri"/>
          <w:b/>
          <w:bCs/>
          <w:color w:val="00B050"/>
          <w:sz w:val="22"/>
          <w:szCs w:val="22"/>
        </w:rPr>
        <w:t>E</w:t>
      </w:r>
      <w:r>
        <w:rPr>
          <w:rFonts w:ascii="Calibri" w:hAnsi="Calibri" w:cs="Calibri"/>
          <w:b/>
          <w:bCs/>
          <w:color w:val="00B050"/>
          <w:sz w:val="22"/>
          <w:szCs w:val="22"/>
          <w:vertAlign w:val="subscript"/>
        </w:rPr>
        <w:t>max</w:t>
      </w:r>
      <w:r>
        <w:rPr>
          <w:rFonts w:ascii="Calibri" w:hAnsi="Calibri" w:cs="Calibri"/>
          <w:b/>
          <w:bCs/>
          <w:color w:val="00B050"/>
          <w:sz w:val="22"/>
          <w:szCs w:val="22"/>
          <w:vertAlign w:val="subscript"/>
        </w:rPr>
        <w:br/>
      </w:r>
      <w:r>
        <w:rPr>
          <w:rFonts w:ascii="Calibri" w:hAnsi="Calibri" w:cs="Calibri"/>
          <w:sz w:val="22"/>
          <w:szCs w:val="22"/>
        </w:rPr>
        <w:t>= den dose</w:t>
      </w:r>
      <w:r w:rsidR="00B501CD">
        <w:rPr>
          <w:rFonts w:ascii="Calibri" w:hAnsi="Calibri" w:cs="Calibri"/>
          <w:sz w:val="22"/>
          <w:szCs w:val="22"/>
        </w:rPr>
        <w:t>ring/agonistkoncentration</w:t>
      </w:r>
      <w:r>
        <w:rPr>
          <w:rFonts w:ascii="Calibri" w:hAnsi="Calibri" w:cs="Calibri"/>
          <w:sz w:val="22"/>
          <w:szCs w:val="22"/>
        </w:rPr>
        <w:t xml:space="preserve"> hvormed man opnår maksimale medikamentrespons</w:t>
      </w:r>
    </w:p>
    <w:p w:rsidR="008657A7" w:rsidRDefault="008657A7" w:rsidP="008657A7">
      <w:pPr>
        <w:pStyle w:val="NormalWeb"/>
        <w:spacing w:before="0" w:beforeAutospacing="0" w:after="0" w:afterAutospacing="0"/>
        <w:rPr>
          <w:rFonts w:ascii="Calibri" w:hAnsi="Calibri" w:cs="Calibri"/>
          <w:sz w:val="22"/>
          <w:szCs w:val="22"/>
        </w:rPr>
      </w:pPr>
      <w:r>
        <w:rPr>
          <w:rFonts w:ascii="Calibri" w:hAnsi="Calibri" w:cs="Calibri"/>
          <w:sz w:val="22"/>
          <w:szCs w:val="22"/>
        </w:rPr>
        <w:br/>
      </w:r>
      <w:r>
        <w:rPr>
          <w:rFonts w:ascii="Calibri" w:hAnsi="Calibri" w:cs="Calibri"/>
          <w:b/>
          <w:bCs/>
          <w:color w:val="FF0000"/>
          <w:sz w:val="22"/>
          <w:szCs w:val="22"/>
        </w:rPr>
        <w:t>EC</w:t>
      </w:r>
      <w:r>
        <w:rPr>
          <w:rFonts w:ascii="Calibri" w:hAnsi="Calibri" w:cs="Calibri"/>
          <w:b/>
          <w:bCs/>
          <w:color w:val="FF0000"/>
          <w:sz w:val="22"/>
          <w:szCs w:val="22"/>
          <w:vertAlign w:val="subscript"/>
        </w:rPr>
        <w:t>50</w:t>
      </w:r>
      <w:r>
        <w:rPr>
          <w:rFonts w:ascii="Calibri" w:hAnsi="Calibri" w:cs="Calibri"/>
          <w:b/>
          <w:bCs/>
          <w:color w:val="FF0000"/>
          <w:sz w:val="22"/>
          <w:szCs w:val="22"/>
        </w:rPr>
        <w:br/>
      </w:r>
      <w:r>
        <w:rPr>
          <w:rFonts w:ascii="Calibri" w:hAnsi="Calibri" w:cs="Calibri"/>
          <w:sz w:val="22"/>
          <w:szCs w:val="22"/>
        </w:rPr>
        <w:t xml:space="preserve">= den </w:t>
      </w:r>
      <w:r w:rsidR="00B501CD">
        <w:rPr>
          <w:rFonts w:ascii="Calibri" w:hAnsi="Calibri" w:cs="Calibri"/>
          <w:sz w:val="22"/>
          <w:szCs w:val="22"/>
        </w:rPr>
        <w:t>dosering/agonistkoncentration</w:t>
      </w:r>
      <w:r>
        <w:rPr>
          <w:rFonts w:ascii="Calibri" w:hAnsi="Calibri" w:cs="Calibri"/>
          <w:sz w:val="22"/>
          <w:szCs w:val="22"/>
        </w:rPr>
        <w:t xml:space="preserve"> hvormed man opnår 50 % af maksimale medikamentrespons</w:t>
      </w:r>
    </w:p>
    <w:p w:rsidR="000C3301" w:rsidRDefault="008657A7" w:rsidP="008657A7">
      <w:pPr>
        <w:pStyle w:val="NormalWeb"/>
        <w:spacing w:before="0" w:beforeAutospacing="0" w:after="0" w:afterAutospacing="0"/>
        <w:rPr>
          <w:rFonts w:ascii="Calibri" w:hAnsi="Calibri" w:cs="Calibri"/>
          <w:sz w:val="22"/>
          <w:szCs w:val="22"/>
        </w:rPr>
      </w:pPr>
      <w:r>
        <w:rPr>
          <w:rFonts w:ascii="Calibri" w:hAnsi="Calibri" w:cs="Calibri"/>
          <w:sz w:val="22"/>
          <w:szCs w:val="22"/>
        </w:rPr>
        <w:br/>
        <w:t>Ligesom med bindingskurven anvendes ofte en logaritmisk skala, hvorfor kurven antager S-form når respons plottes mod koncentration.</w:t>
      </w:r>
      <w:r w:rsidRPr="008657A7">
        <w:rPr>
          <w:rFonts w:ascii="Calibri" w:hAnsi="Calibri" w:cs="Calibri"/>
          <w:sz w:val="22"/>
          <w:szCs w:val="22"/>
        </w:rPr>
        <w:t xml:space="preserve"> </w:t>
      </w:r>
      <w:r w:rsidRPr="008657A7">
        <w:rPr>
          <w:rFonts w:ascii="Calibri" w:hAnsi="Calibri" w:cs="Calibri"/>
          <w:sz w:val="22"/>
          <w:szCs w:val="22"/>
        </w:rPr>
        <w:br/>
      </w:r>
    </w:p>
    <w:p w:rsidR="00C17048" w:rsidRDefault="000C3301" w:rsidP="008657A7">
      <w:pPr>
        <w:pStyle w:val="NormalWeb"/>
        <w:spacing w:before="0" w:beforeAutospacing="0" w:after="0" w:afterAutospacing="0"/>
        <w:rPr>
          <w:rFonts w:ascii="Calibri" w:hAnsi="Calibri" w:cs="Calibri"/>
          <w:sz w:val="18"/>
          <w:szCs w:val="22"/>
        </w:rPr>
      </w:pPr>
      <w:r w:rsidRPr="000C3301">
        <w:rPr>
          <w:rFonts w:ascii="Calibri" w:hAnsi="Calibri" w:cs="Calibri"/>
          <w:sz w:val="18"/>
          <w:szCs w:val="22"/>
        </w:rPr>
        <w:t>På billedet til højre ses en dosis-effekt-kurve, hvor vi betragter to medikamenter med samme E</w:t>
      </w:r>
      <w:r w:rsidRPr="000C3301">
        <w:rPr>
          <w:rFonts w:ascii="Calibri" w:hAnsi="Calibri" w:cs="Calibri"/>
          <w:sz w:val="18"/>
          <w:szCs w:val="22"/>
          <w:vertAlign w:val="subscript"/>
        </w:rPr>
        <w:t>max</w:t>
      </w:r>
      <w:r w:rsidRPr="000C3301">
        <w:rPr>
          <w:rFonts w:ascii="Calibri" w:hAnsi="Calibri" w:cs="Calibri"/>
          <w:sz w:val="18"/>
          <w:szCs w:val="22"/>
        </w:rPr>
        <w:t xml:space="preserve">, men med forskellige potenser. Der skal en større koncentration acetylcholin til for at </w:t>
      </w:r>
      <w:r w:rsidRPr="000C3301">
        <w:rPr>
          <w:rFonts w:ascii="Calibri" w:hAnsi="Calibri" w:cs="Calibri"/>
          <w:i/>
          <w:sz w:val="18"/>
          <w:szCs w:val="22"/>
        </w:rPr>
        <w:t>udløse/igangsætte</w:t>
      </w:r>
      <w:r w:rsidRPr="000C3301">
        <w:rPr>
          <w:rFonts w:ascii="Calibri" w:hAnsi="Calibri" w:cs="Calibri"/>
          <w:sz w:val="18"/>
          <w:szCs w:val="22"/>
        </w:rPr>
        <w:t xml:space="preserve"> et respons i frøernes </w:t>
      </w:r>
      <w:proofErr w:type="spellStart"/>
      <w:r w:rsidRPr="000C3301">
        <w:rPr>
          <w:rFonts w:ascii="Calibri" w:hAnsi="Calibri" w:cs="Calibri"/>
          <w:sz w:val="18"/>
          <w:szCs w:val="22"/>
        </w:rPr>
        <w:t>rectusmuskler</w:t>
      </w:r>
      <w:proofErr w:type="spellEnd"/>
      <w:r w:rsidRPr="000C3301">
        <w:rPr>
          <w:rFonts w:ascii="Calibri" w:hAnsi="Calibri" w:cs="Calibri"/>
          <w:sz w:val="18"/>
          <w:szCs w:val="22"/>
        </w:rPr>
        <w:t xml:space="preserve">, end der skal histamin til at </w:t>
      </w:r>
      <w:r w:rsidRPr="000C3301">
        <w:rPr>
          <w:rFonts w:ascii="Calibri" w:hAnsi="Calibri" w:cs="Calibri"/>
          <w:i/>
          <w:sz w:val="18"/>
          <w:szCs w:val="22"/>
        </w:rPr>
        <w:t xml:space="preserve">udløse/igangsætte </w:t>
      </w:r>
      <w:r w:rsidRPr="000C3301">
        <w:rPr>
          <w:rFonts w:ascii="Calibri" w:hAnsi="Calibri" w:cs="Calibri"/>
          <w:sz w:val="18"/>
          <w:szCs w:val="22"/>
        </w:rPr>
        <w:t xml:space="preserve">et respons i marsvinenes </w:t>
      </w:r>
      <w:r w:rsidRPr="000C3301">
        <w:rPr>
          <w:rFonts w:ascii="Calibri" w:hAnsi="Calibri" w:cs="Calibri"/>
          <w:sz w:val="18"/>
          <w:szCs w:val="22"/>
        </w:rPr>
        <w:lastRenderedPageBreak/>
        <w:t xml:space="preserve">hjertemuskulatur. </w:t>
      </w:r>
      <w:r>
        <w:rPr>
          <w:rFonts w:ascii="Calibri" w:hAnsi="Calibri" w:cs="Calibri"/>
          <w:sz w:val="18"/>
          <w:szCs w:val="22"/>
        </w:rPr>
        <w:t xml:space="preserve">Begge agonister er </w:t>
      </w:r>
      <w:r>
        <w:rPr>
          <w:rFonts w:ascii="Calibri" w:hAnsi="Calibri" w:cs="Calibri"/>
          <w:i/>
          <w:sz w:val="18"/>
          <w:szCs w:val="22"/>
        </w:rPr>
        <w:t>fuldstændige agonister</w:t>
      </w:r>
      <w:r>
        <w:rPr>
          <w:rFonts w:ascii="Calibri" w:hAnsi="Calibri" w:cs="Calibri"/>
          <w:sz w:val="18"/>
          <w:szCs w:val="22"/>
        </w:rPr>
        <w:t>, idet de udløser et maksimalt respons under tilstrækkelige koncentrationer.</w:t>
      </w:r>
    </w:p>
    <w:p w:rsidR="000C3301" w:rsidRDefault="000C3301" w:rsidP="008657A7">
      <w:pPr>
        <w:pStyle w:val="NormalWeb"/>
        <w:spacing w:before="0" w:beforeAutospacing="0" w:after="0" w:afterAutospacing="0"/>
        <w:rPr>
          <w:rFonts w:ascii="Calibri" w:hAnsi="Calibri" w:cs="Calibri"/>
          <w:sz w:val="18"/>
          <w:szCs w:val="22"/>
        </w:rPr>
      </w:pPr>
    </w:p>
    <w:p w:rsidR="000C3301" w:rsidRPr="000C3301" w:rsidRDefault="000C3301" w:rsidP="000C3301">
      <w:pPr>
        <w:spacing w:after="0" w:line="240" w:lineRule="auto"/>
        <w:rPr>
          <w:rFonts w:ascii="Calibri" w:eastAsia="Times New Roman" w:hAnsi="Calibri" w:cs="Calibri"/>
          <w:lang w:eastAsia="da-DK"/>
        </w:rPr>
      </w:pPr>
      <w:r w:rsidRPr="000C3301">
        <w:rPr>
          <w:rFonts w:ascii="Calibri" w:eastAsia="Times New Roman" w:hAnsi="Calibri" w:cs="Calibri"/>
          <w:b/>
          <w:bCs/>
          <w:lang w:eastAsia="da-DK"/>
        </w:rPr>
        <w:t>Kompetitiv antagonisme</w:t>
      </w:r>
      <w:r w:rsidRPr="000C3301">
        <w:rPr>
          <w:rFonts w:ascii="Calibri" w:eastAsia="Times New Roman" w:hAnsi="Calibri" w:cs="Calibri"/>
          <w:b/>
          <w:bCs/>
          <w:lang w:eastAsia="da-DK"/>
        </w:rPr>
        <w:br/>
      </w:r>
      <w:r w:rsidRPr="000C3301">
        <w:rPr>
          <w:rFonts w:ascii="Calibri" w:eastAsia="Times New Roman" w:hAnsi="Calibri" w:cs="Calibri"/>
          <w:lang w:eastAsia="da-DK"/>
        </w:rPr>
        <w:t xml:space="preserve">Kompetitiv antagonisme betegner virkningen af stoffer, der i modstand med agonister med samme receptorspecificitet, kæmper om at binde til en specifik receptortype. </w:t>
      </w:r>
      <w:r w:rsidRPr="000C3301">
        <w:rPr>
          <w:rFonts w:ascii="Calibri" w:eastAsia="Times New Roman" w:hAnsi="Calibri" w:cs="Calibri"/>
          <w:lang w:eastAsia="da-DK"/>
        </w:rPr>
        <w:br/>
      </w:r>
      <w:r w:rsidRPr="000C3301">
        <w:rPr>
          <w:rFonts w:ascii="Calibri" w:eastAsia="Times New Roman" w:hAnsi="Calibri" w:cs="Calibri"/>
          <w:lang w:eastAsia="da-DK"/>
        </w:rPr>
        <w:br/>
      </w:r>
      <w:r w:rsidRPr="000C3301">
        <w:rPr>
          <w:rFonts w:ascii="Calibri" w:eastAsia="Times New Roman" w:hAnsi="Calibri" w:cs="Calibri"/>
          <w:b/>
          <w:bCs/>
          <w:lang w:eastAsia="da-DK"/>
        </w:rPr>
        <w:t>Reversibel kompetitiv antagonisme</w:t>
      </w:r>
      <w:r w:rsidRPr="000C3301">
        <w:rPr>
          <w:rFonts w:ascii="Calibri" w:eastAsia="Times New Roman" w:hAnsi="Calibri" w:cs="Calibri"/>
          <w:b/>
          <w:bCs/>
          <w:lang w:eastAsia="da-DK"/>
        </w:rPr>
        <w:br/>
      </w:r>
      <w:r w:rsidRPr="000C3301">
        <w:rPr>
          <w:rFonts w:ascii="Calibri" w:eastAsia="Times New Roman" w:hAnsi="Calibri" w:cs="Calibri"/>
          <w:lang w:eastAsia="da-DK"/>
        </w:rPr>
        <w:t xml:space="preserve">Ved tilstedeværelsen af en reversibel kompetitiv antagonist (dvs. en antagonist som spontant binder til og giver slip på sin specifikke receptor), falder koncentrationen af </w:t>
      </w:r>
      <w:r w:rsidRPr="000C3301">
        <w:rPr>
          <w:rFonts w:ascii="Calibri" w:eastAsia="Times New Roman" w:hAnsi="Calibri" w:cs="Calibri"/>
          <w:i/>
          <w:iCs/>
          <w:lang w:eastAsia="da-DK"/>
        </w:rPr>
        <w:t>agonistbeboede receptorer</w:t>
      </w:r>
      <w:r w:rsidRPr="000C3301">
        <w:rPr>
          <w:rFonts w:ascii="Calibri" w:eastAsia="Times New Roman" w:hAnsi="Calibri" w:cs="Calibri"/>
          <w:lang w:eastAsia="da-DK"/>
        </w:rPr>
        <w:t xml:space="preserve">, da en receptor kun kan binde ét af de to molekyler på én gang. Der altså kun plads til enten en agonist eller en reversibel kompetitiv antagonist på ethvert givent tidspunkt. </w:t>
      </w:r>
      <w:r w:rsidRPr="000C3301">
        <w:rPr>
          <w:rFonts w:ascii="Calibri" w:eastAsia="Times New Roman" w:hAnsi="Calibri" w:cs="Calibri"/>
          <w:lang w:eastAsia="da-DK"/>
        </w:rPr>
        <w:br/>
      </w:r>
      <w:r w:rsidRPr="000C3301">
        <w:rPr>
          <w:rFonts w:ascii="Calibri" w:eastAsia="Times New Roman" w:hAnsi="Calibri" w:cs="Calibri"/>
          <w:lang w:eastAsia="da-DK"/>
        </w:rPr>
        <w:br/>
        <w:t xml:space="preserve">Ved at hæve koncentration af agonistmolekyler kan man imidlertid overkomme den reversible kompetitive antagonists antagonistiske virkning, da de to modstandere netop er i kamp om samme receptorer - et klart overtal af agonister "vinder", således agonistens effekt forbliver uændret. </w:t>
      </w:r>
      <w:r w:rsidRPr="000C3301">
        <w:rPr>
          <w:rFonts w:ascii="Calibri" w:eastAsia="Times New Roman" w:hAnsi="Calibri" w:cs="Calibri"/>
          <w:lang w:eastAsia="da-DK"/>
        </w:rPr>
        <w:br/>
      </w:r>
      <w:r w:rsidRPr="000C3301">
        <w:rPr>
          <w:rFonts w:ascii="Calibri" w:eastAsia="Times New Roman" w:hAnsi="Calibri" w:cs="Calibri"/>
          <w:lang w:eastAsia="da-DK"/>
        </w:rPr>
        <w:br/>
        <w:t>Det betyder i dette tilfælde, at man ved en fikseret antagonistkoncentration, blot højreforskyder dosis-effekt-kurven i koordinatsystemet (se figur nedenfor</w:t>
      </w:r>
      <w:proofErr w:type="gramStart"/>
      <w:r w:rsidRPr="000C3301">
        <w:rPr>
          <w:rFonts w:ascii="Calibri" w:eastAsia="Times New Roman" w:hAnsi="Calibri" w:cs="Calibri"/>
          <w:lang w:eastAsia="da-DK"/>
        </w:rPr>
        <w:t>) ,</w:t>
      </w:r>
      <w:proofErr w:type="gramEnd"/>
      <w:r w:rsidRPr="000C3301">
        <w:rPr>
          <w:rFonts w:ascii="Calibri" w:eastAsia="Times New Roman" w:hAnsi="Calibri" w:cs="Calibri"/>
          <w:lang w:eastAsia="da-DK"/>
        </w:rPr>
        <w:t xml:space="preserve"> uden at dette har indvirkning på hverken hældningen af eller E</w:t>
      </w:r>
      <w:r w:rsidRPr="000C3301">
        <w:rPr>
          <w:rFonts w:ascii="Calibri" w:eastAsia="Times New Roman" w:hAnsi="Calibri" w:cs="Calibri"/>
          <w:vertAlign w:val="subscript"/>
          <w:lang w:eastAsia="da-DK"/>
        </w:rPr>
        <w:t xml:space="preserve">max </w:t>
      </w:r>
      <w:r w:rsidRPr="000C3301">
        <w:rPr>
          <w:rFonts w:ascii="Calibri" w:eastAsia="Times New Roman" w:hAnsi="Calibri" w:cs="Calibri"/>
          <w:lang w:eastAsia="da-DK"/>
        </w:rPr>
        <w:t>på selve kurven.</w:t>
      </w:r>
      <w:r w:rsidRPr="000C3301">
        <w:rPr>
          <w:rFonts w:ascii="Calibri" w:eastAsia="Times New Roman" w:hAnsi="Calibri" w:cs="Calibri"/>
          <w:lang w:eastAsia="da-DK"/>
        </w:rPr>
        <w:br/>
      </w:r>
      <w:r w:rsidRPr="000C3301">
        <w:rPr>
          <w:rFonts w:ascii="Calibri" w:eastAsia="Times New Roman" w:hAnsi="Calibri" w:cs="Calibri"/>
          <w:i/>
          <w:iCs/>
          <w:lang w:eastAsia="da-DK"/>
        </w:rPr>
        <w:t>Efficacy</w:t>
      </w:r>
      <w:r w:rsidRPr="000C3301">
        <w:rPr>
          <w:rFonts w:ascii="Calibri" w:eastAsia="Times New Roman" w:hAnsi="Calibri" w:cs="Calibri"/>
          <w:lang w:eastAsia="da-DK"/>
        </w:rPr>
        <w:t xml:space="preserve"> (styrken af cellerespons) forbliver altså den samme, men </w:t>
      </w:r>
      <w:r w:rsidRPr="000C3301">
        <w:rPr>
          <w:rFonts w:ascii="Calibri" w:eastAsia="Times New Roman" w:hAnsi="Calibri" w:cs="Calibri"/>
          <w:i/>
          <w:iCs/>
          <w:lang w:eastAsia="da-DK"/>
        </w:rPr>
        <w:t>potency</w:t>
      </w:r>
      <w:r w:rsidRPr="000C3301">
        <w:rPr>
          <w:rFonts w:ascii="Calibri" w:eastAsia="Times New Roman" w:hAnsi="Calibri" w:cs="Calibri"/>
          <w:lang w:eastAsia="da-DK"/>
        </w:rPr>
        <w:t xml:space="preserve"> falder - der skal altså flere molekyler til at </w:t>
      </w:r>
      <w:r w:rsidRPr="000C3301">
        <w:rPr>
          <w:rFonts w:ascii="Calibri" w:eastAsia="Times New Roman" w:hAnsi="Calibri" w:cs="Calibri"/>
          <w:i/>
          <w:iCs/>
          <w:lang w:eastAsia="da-DK"/>
        </w:rPr>
        <w:t>igangsætte</w:t>
      </w:r>
      <w:r w:rsidRPr="000C3301">
        <w:rPr>
          <w:rFonts w:ascii="Calibri" w:eastAsia="Times New Roman" w:hAnsi="Calibri" w:cs="Calibri"/>
          <w:lang w:eastAsia="da-DK"/>
        </w:rPr>
        <w:t xml:space="preserve"> celleresponset! Det er denne sidstnævnte faktor, der bevirker i højreforskydningen. </w:t>
      </w:r>
      <w:r w:rsidRPr="000C3301">
        <w:rPr>
          <w:rFonts w:ascii="Calibri" w:eastAsia="Times New Roman" w:hAnsi="Calibri" w:cs="Calibri"/>
          <w:lang w:eastAsia="da-DK"/>
        </w:rPr>
        <w:br/>
        <w:t xml:space="preserve"> </w:t>
      </w:r>
      <w:r w:rsidRPr="000C3301">
        <w:rPr>
          <w:rFonts w:ascii="Calibri" w:eastAsia="Times New Roman" w:hAnsi="Calibri" w:cs="Calibri"/>
          <w:lang w:eastAsia="da-DK"/>
        </w:rPr>
        <w:br/>
        <w:t xml:space="preserve">Ratioen hvormed agonist-koncentrationen skal øges, for at opnå samme respons som ved tilstande uden antagonisttilstedeværelse, benævnes </w:t>
      </w:r>
      <w:r w:rsidRPr="000C3301">
        <w:rPr>
          <w:rFonts w:ascii="Calibri" w:eastAsia="Times New Roman" w:hAnsi="Calibri" w:cs="Calibri"/>
          <w:i/>
          <w:iCs/>
          <w:lang w:eastAsia="da-DK"/>
        </w:rPr>
        <w:t>doseringsratioen</w:t>
      </w:r>
      <w:r w:rsidRPr="000C3301">
        <w:rPr>
          <w:rFonts w:ascii="Calibri" w:eastAsia="Times New Roman" w:hAnsi="Calibri" w:cs="Calibri"/>
          <w:lang w:eastAsia="da-DK"/>
        </w:rPr>
        <w:t xml:space="preserve">, </w:t>
      </w:r>
      <w:r w:rsidRPr="000C3301">
        <w:rPr>
          <w:rFonts w:ascii="Calibri" w:eastAsia="Times New Roman" w:hAnsi="Calibri" w:cs="Calibri"/>
          <w:i/>
          <w:iCs/>
          <w:lang w:eastAsia="da-DK"/>
        </w:rPr>
        <w:t>r</w:t>
      </w:r>
      <w:r w:rsidRPr="000C3301">
        <w:rPr>
          <w:rFonts w:ascii="Calibri" w:eastAsia="Times New Roman" w:hAnsi="Calibri" w:cs="Calibri"/>
          <w:lang w:eastAsia="da-DK"/>
        </w:rPr>
        <w:t xml:space="preserve">.  </w:t>
      </w:r>
      <w:r w:rsidRPr="000C3301">
        <w:rPr>
          <w:rFonts w:ascii="Calibri" w:eastAsia="Times New Roman" w:hAnsi="Calibri" w:cs="Calibri"/>
          <w:lang w:eastAsia="da-DK"/>
        </w:rPr>
        <w:br/>
      </w:r>
      <w:r w:rsidRPr="000C3301">
        <w:rPr>
          <w:rFonts w:ascii="Calibri" w:eastAsia="Times New Roman" w:hAnsi="Calibri" w:cs="Calibri"/>
          <w:lang w:eastAsia="da-DK"/>
        </w:rPr>
        <w:br/>
        <w:t xml:space="preserve">Doseringsrationen, r, stiger ligefrem proportionalt med koncentrationen af antagonistmolekyler. </w:t>
      </w:r>
      <w:r w:rsidRPr="000C3301">
        <w:rPr>
          <w:rFonts w:ascii="Calibri" w:eastAsia="Times New Roman" w:hAnsi="Calibri" w:cs="Calibri"/>
          <w:lang w:eastAsia="da-DK"/>
        </w:rPr>
        <w:br/>
      </w:r>
      <w:r w:rsidRPr="000C3301">
        <w:rPr>
          <w:rFonts w:ascii="Calibri" w:eastAsia="Times New Roman" w:hAnsi="Calibri" w:cs="Calibri"/>
          <w:lang w:eastAsia="da-DK"/>
        </w:rPr>
        <w:br/>
        <w:t xml:space="preserve">Kompetitiv antagonisme kendetegnes altså ved: </w:t>
      </w:r>
      <w:r w:rsidRPr="000C3301">
        <w:rPr>
          <w:rFonts w:ascii="Calibri" w:eastAsia="Times New Roman" w:hAnsi="Calibri" w:cs="Calibri"/>
          <w:lang w:eastAsia="da-DK"/>
        </w:rPr>
        <w:br/>
        <w:t> </w:t>
      </w:r>
    </w:p>
    <w:p w:rsidR="000C3301" w:rsidRPr="000C3301" w:rsidRDefault="000C3301" w:rsidP="000C3301">
      <w:pPr>
        <w:numPr>
          <w:ilvl w:val="0"/>
          <w:numId w:val="8"/>
        </w:numPr>
        <w:spacing w:after="0" w:line="240" w:lineRule="auto"/>
        <w:ind w:left="540"/>
        <w:textAlignment w:val="center"/>
        <w:rPr>
          <w:rFonts w:ascii="Calibri" w:eastAsia="Times New Roman" w:hAnsi="Calibri" w:cs="Calibri"/>
          <w:lang w:eastAsia="da-DK"/>
        </w:rPr>
      </w:pPr>
      <w:r w:rsidRPr="000C3301">
        <w:rPr>
          <w:rFonts w:ascii="Calibri" w:eastAsia="Times New Roman" w:hAnsi="Calibri" w:cs="Calibri"/>
          <w:lang w:eastAsia="da-DK"/>
        </w:rPr>
        <w:t>Højreforskydning af dosis-effekt-log-kurve</w:t>
      </w:r>
    </w:p>
    <w:p w:rsidR="000C3301" w:rsidRPr="000C3301" w:rsidRDefault="000C3301" w:rsidP="000C3301">
      <w:pPr>
        <w:numPr>
          <w:ilvl w:val="0"/>
          <w:numId w:val="8"/>
        </w:numPr>
        <w:spacing w:after="0" w:line="240" w:lineRule="auto"/>
        <w:ind w:left="540"/>
        <w:textAlignment w:val="center"/>
        <w:rPr>
          <w:rFonts w:ascii="Calibri" w:eastAsia="Times New Roman" w:hAnsi="Calibri" w:cs="Calibri"/>
          <w:lang w:eastAsia="da-DK"/>
        </w:rPr>
      </w:pPr>
      <w:r w:rsidRPr="000C3301">
        <w:rPr>
          <w:rFonts w:ascii="Calibri" w:eastAsia="Times New Roman" w:hAnsi="Calibri" w:cs="Calibri"/>
          <w:lang w:eastAsia="da-DK"/>
        </w:rPr>
        <w:t xml:space="preserve">Lineært forhold mellem antagonistkoncentration og doseringsratio, </w:t>
      </w:r>
      <w:r w:rsidRPr="000C3301">
        <w:rPr>
          <w:rFonts w:ascii="Calibri" w:eastAsia="Times New Roman" w:hAnsi="Calibri" w:cs="Calibri"/>
          <w:i/>
          <w:iCs/>
          <w:lang w:eastAsia="da-DK"/>
        </w:rPr>
        <w:t>r</w:t>
      </w:r>
      <w:r w:rsidRPr="000C3301">
        <w:rPr>
          <w:rFonts w:ascii="Calibri" w:eastAsia="Times New Roman" w:hAnsi="Calibri" w:cs="Calibri"/>
          <w:lang w:eastAsia="da-DK"/>
        </w:rPr>
        <w:t xml:space="preserve">. </w:t>
      </w:r>
    </w:p>
    <w:p w:rsidR="000C3301" w:rsidRPr="000C3301" w:rsidRDefault="000C3301" w:rsidP="000C3301">
      <w:pPr>
        <w:spacing w:after="0" w:line="240" w:lineRule="auto"/>
        <w:rPr>
          <w:rFonts w:ascii="Calibri" w:eastAsia="Times New Roman" w:hAnsi="Calibri" w:cs="Calibri"/>
          <w:lang w:eastAsia="da-DK"/>
        </w:rPr>
      </w:pPr>
      <w:r w:rsidRPr="000C3301">
        <w:rPr>
          <w:rFonts w:ascii="Calibri" w:eastAsia="Times New Roman" w:hAnsi="Calibri" w:cs="Calibri"/>
          <w:lang w:eastAsia="da-DK"/>
        </w:rPr>
        <w:t> </w:t>
      </w:r>
    </w:p>
    <w:p w:rsidR="000C3301" w:rsidRPr="000C3301" w:rsidRDefault="000C3301" w:rsidP="000C3301">
      <w:pPr>
        <w:spacing w:after="0" w:line="240" w:lineRule="auto"/>
        <w:rPr>
          <w:rFonts w:ascii="Calibri" w:eastAsia="Times New Roman" w:hAnsi="Calibri" w:cs="Calibri"/>
          <w:lang w:eastAsia="da-DK"/>
        </w:rPr>
      </w:pPr>
      <w:r w:rsidRPr="000C3301">
        <w:rPr>
          <w:rFonts w:ascii="Calibri" w:eastAsia="Times New Roman" w:hAnsi="Calibri" w:cs="Calibri"/>
          <w:noProof/>
          <w:lang w:eastAsia="da-DK"/>
        </w:rPr>
        <w:drawing>
          <wp:inline distT="0" distB="0" distL="0" distR="0">
            <wp:extent cx="3028950" cy="2198134"/>
            <wp:effectExtent l="0" t="0" r="0" b="0"/>
            <wp:docPr id="11" name="Billede 11" descr="Reversible competitive antagonism &#10;1.0 &#10;0.5 &#10;10•2 &#10;10 &#10;100 &#10;102 &#10;Antagonist &#10;concentration &#10;1000 &#10;104 &#10;106 &#10;Agonist concentra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Reversible competitive antagonism &#10;1.0 &#10;0.5 &#10;10•2 &#10;10 &#10;100 &#10;102 &#10;Antagonist &#10;concentration &#10;1000 &#10;104 &#10;106 &#10;Agonist concentration "/>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58119" cy="2219302"/>
                    </a:xfrm>
                    <a:prstGeom prst="rect">
                      <a:avLst/>
                    </a:prstGeom>
                    <a:noFill/>
                    <a:ln>
                      <a:noFill/>
                    </a:ln>
                  </pic:spPr>
                </pic:pic>
              </a:graphicData>
            </a:graphic>
          </wp:inline>
        </w:drawing>
      </w:r>
    </w:p>
    <w:p w:rsidR="000C3301" w:rsidRPr="000C3301" w:rsidRDefault="000C3301" w:rsidP="000C3301">
      <w:pPr>
        <w:spacing w:after="0" w:line="240" w:lineRule="auto"/>
        <w:rPr>
          <w:rFonts w:ascii="Calibri" w:eastAsia="Times New Roman" w:hAnsi="Calibri" w:cs="Calibri"/>
          <w:color w:val="0070C0"/>
          <w:lang w:eastAsia="da-DK"/>
        </w:rPr>
      </w:pPr>
      <w:r w:rsidRPr="000C3301">
        <w:rPr>
          <w:rFonts w:ascii="Calibri" w:eastAsia="Times New Roman" w:hAnsi="Calibri" w:cs="Calibri"/>
          <w:sz w:val="18"/>
          <w:szCs w:val="20"/>
          <w:lang w:eastAsia="da-DK"/>
        </w:rPr>
        <w:t>På figuren ses højreforskydning af dosis-effekt-kurven under stigende koncentrationer af reversible kompetitive antagonister. Grafen er uændret mht. hældning og E</w:t>
      </w:r>
      <w:r w:rsidRPr="000C3301">
        <w:rPr>
          <w:rFonts w:ascii="Calibri" w:eastAsia="Times New Roman" w:hAnsi="Calibri" w:cs="Calibri"/>
          <w:sz w:val="18"/>
          <w:szCs w:val="20"/>
          <w:vertAlign w:val="subscript"/>
          <w:lang w:eastAsia="da-DK"/>
        </w:rPr>
        <w:t>max</w:t>
      </w:r>
      <w:r w:rsidRPr="000C3301">
        <w:rPr>
          <w:rFonts w:ascii="Calibri" w:eastAsia="Times New Roman" w:hAnsi="Calibri" w:cs="Calibri"/>
          <w:color w:val="0070C0"/>
          <w:lang w:eastAsia="da-DK"/>
        </w:rPr>
        <w:br/>
        <w:t> </w:t>
      </w:r>
    </w:p>
    <w:p w:rsidR="000C3301" w:rsidRPr="000C3301" w:rsidRDefault="000C3301" w:rsidP="000C3301">
      <w:pPr>
        <w:spacing w:after="0" w:line="240" w:lineRule="auto"/>
        <w:rPr>
          <w:rFonts w:ascii="Calibri" w:eastAsia="Times New Roman" w:hAnsi="Calibri" w:cs="Calibri"/>
          <w:lang w:eastAsia="da-DK"/>
        </w:rPr>
      </w:pPr>
      <w:r w:rsidRPr="000C3301">
        <w:rPr>
          <w:rFonts w:ascii="Calibri" w:eastAsia="Times New Roman" w:hAnsi="Calibri" w:cs="Calibri"/>
          <w:b/>
          <w:bCs/>
          <w:lang w:eastAsia="da-DK"/>
        </w:rPr>
        <w:lastRenderedPageBreak/>
        <w:t>Irreversibel kompetitiv antagonisme</w:t>
      </w:r>
      <w:r w:rsidRPr="000C3301">
        <w:rPr>
          <w:rFonts w:ascii="Calibri" w:eastAsia="Times New Roman" w:hAnsi="Calibri" w:cs="Calibri"/>
          <w:b/>
          <w:bCs/>
          <w:lang w:eastAsia="da-DK"/>
        </w:rPr>
        <w:br/>
      </w:r>
      <w:r w:rsidRPr="000C3301">
        <w:rPr>
          <w:rFonts w:ascii="Calibri" w:eastAsia="Times New Roman" w:hAnsi="Calibri" w:cs="Calibri"/>
          <w:lang w:eastAsia="da-DK"/>
        </w:rPr>
        <w:t>Betegner virkningen af stoffer der binder irreversibelt (eller med liden dissociationstendens) til de receptorer om hvilke de kæmper om binding til med modsvarende agonister. Her ses ikke alene en højreforskydning af dosis-effekt-kurven, men også agonistens E</w:t>
      </w:r>
      <w:r w:rsidRPr="000C3301">
        <w:rPr>
          <w:rFonts w:ascii="Calibri" w:eastAsia="Times New Roman" w:hAnsi="Calibri" w:cs="Calibri"/>
          <w:vertAlign w:val="subscript"/>
          <w:lang w:eastAsia="da-DK"/>
        </w:rPr>
        <w:t xml:space="preserve">max </w:t>
      </w:r>
      <w:r w:rsidRPr="000C3301">
        <w:rPr>
          <w:rFonts w:ascii="Calibri" w:eastAsia="Times New Roman" w:hAnsi="Calibri" w:cs="Calibri"/>
          <w:lang w:eastAsia="da-DK"/>
        </w:rPr>
        <w:t xml:space="preserve">falder, som følge af færre binding sites hvorpå agonisten kan udvise sin efficacy og udløse respons. Disse </w:t>
      </w:r>
      <w:proofErr w:type="gramStart"/>
      <w:r w:rsidRPr="000C3301">
        <w:rPr>
          <w:rFonts w:ascii="Calibri" w:eastAsia="Times New Roman" w:hAnsi="Calibri" w:cs="Calibri"/>
          <w:lang w:eastAsia="da-DK"/>
        </w:rPr>
        <w:t>binding sites</w:t>
      </w:r>
      <w:proofErr w:type="gramEnd"/>
      <w:r w:rsidRPr="000C3301">
        <w:rPr>
          <w:rFonts w:ascii="Calibri" w:eastAsia="Times New Roman" w:hAnsi="Calibri" w:cs="Calibri"/>
          <w:lang w:eastAsia="da-DK"/>
        </w:rPr>
        <w:t xml:space="preserve"> er irreversibelt blokerede. </w:t>
      </w:r>
      <w:r w:rsidRPr="000C3301">
        <w:rPr>
          <w:rFonts w:ascii="Calibri" w:eastAsia="Times New Roman" w:hAnsi="Calibri" w:cs="Calibri"/>
          <w:lang w:eastAsia="da-DK"/>
        </w:rPr>
        <w:br/>
        <w:t> </w:t>
      </w:r>
    </w:p>
    <w:p w:rsidR="000C3301" w:rsidRPr="000C3301" w:rsidRDefault="00C17048" w:rsidP="000C3301">
      <w:pPr>
        <w:spacing w:after="0" w:line="240" w:lineRule="auto"/>
        <w:rPr>
          <w:rFonts w:ascii="Calibri" w:eastAsia="Times New Roman" w:hAnsi="Calibri" w:cs="Calibri"/>
          <w:lang w:eastAsia="da-DK"/>
        </w:rPr>
      </w:pPr>
      <w:r>
        <w:rPr>
          <w:rFonts w:ascii="Calibri" w:eastAsia="Times New Roman" w:hAnsi="Calibri" w:cs="Calibri"/>
          <w:noProof/>
          <w:lang w:eastAsia="da-DK"/>
        </w:rPr>
        <w:drawing>
          <wp:inline distT="0" distB="0" distL="0" distR="0">
            <wp:extent cx="3048000" cy="2178050"/>
            <wp:effectExtent l="0" t="0" r="0" b="0"/>
            <wp:docPr id="24" name="Billed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48000" cy="2178050"/>
                    </a:xfrm>
                    <a:prstGeom prst="rect">
                      <a:avLst/>
                    </a:prstGeom>
                    <a:noFill/>
                    <a:ln>
                      <a:noFill/>
                    </a:ln>
                  </pic:spPr>
                </pic:pic>
              </a:graphicData>
            </a:graphic>
          </wp:inline>
        </w:drawing>
      </w:r>
    </w:p>
    <w:p w:rsidR="000C3301" w:rsidRPr="000C3301" w:rsidRDefault="000C3301" w:rsidP="000C3301">
      <w:pPr>
        <w:spacing w:after="0" w:line="240" w:lineRule="auto"/>
        <w:rPr>
          <w:rFonts w:ascii="Calibri" w:eastAsia="Times New Roman" w:hAnsi="Calibri" w:cs="Calibri"/>
          <w:sz w:val="18"/>
          <w:szCs w:val="20"/>
          <w:lang w:eastAsia="da-DK"/>
        </w:rPr>
      </w:pPr>
      <w:r w:rsidRPr="000C3301">
        <w:rPr>
          <w:rFonts w:ascii="Calibri" w:eastAsia="Times New Roman" w:hAnsi="Calibri" w:cs="Calibri"/>
          <w:sz w:val="18"/>
          <w:szCs w:val="20"/>
          <w:lang w:eastAsia="da-DK"/>
        </w:rPr>
        <w:t>På grafen ses det, at stigende koncentrationer</w:t>
      </w:r>
      <w:r w:rsidR="00C17048">
        <w:rPr>
          <w:rFonts w:ascii="Calibri" w:eastAsia="Times New Roman" w:hAnsi="Calibri" w:cs="Calibri"/>
          <w:sz w:val="18"/>
          <w:szCs w:val="20"/>
          <w:lang w:eastAsia="da-DK"/>
        </w:rPr>
        <w:t xml:space="preserve"> af irreversible kompetitive antagonister (hhv. 1 og 2)</w:t>
      </w:r>
      <w:r w:rsidRPr="000C3301">
        <w:rPr>
          <w:rFonts w:ascii="Calibri" w:eastAsia="Times New Roman" w:hAnsi="Calibri" w:cs="Calibri"/>
          <w:sz w:val="18"/>
          <w:szCs w:val="20"/>
          <w:lang w:eastAsia="da-DK"/>
        </w:rPr>
        <w:t xml:space="preserve"> sænker E</w:t>
      </w:r>
      <w:r w:rsidRPr="000C3301">
        <w:rPr>
          <w:rFonts w:ascii="Calibri" w:eastAsia="Times New Roman" w:hAnsi="Calibri" w:cs="Calibri"/>
          <w:sz w:val="18"/>
          <w:szCs w:val="20"/>
          <w:vertAlign w:val="subscript"/>
          <w:lang w:eastAsia="da-DK"/>
        </w:rPr>
        <w:t>max</w:t>
      </w:r>
      <w:r w:rsidRPr="000C3301">
        <w:rPr>
          <w:rFonts w:ascii="Calibri" w:eastAsia="Times New Roman" w:hAnsi="Calibri" w:cs="Calibri"/>
          <w:sz w:val="18"/>
          <w:szCs w:val="20"/>
          <w:lang w:eastAsia="da-DK"/>
        </w:rPr>
        <w:t xml:space="preserve"> og dermed agonistens efficacy.</w:t>
      </w:r>
      <w:r w:rsidR="00C17048">
        <w:rPr>
          <w:rFonts w:ascii="Calibri" w:eastAsia="Times New Roman" w:hAnsi="Calibri" w:cs="Calibri"/>
          <w:sz w:val="18"/>
          <w:szCs w:val="20"/>
          <w:lang w:eastAsia="da-DK"/>
        </w:rPr>
        <w:t xml:space="preserve"> Agonisten har færre tilgængelige sites hvorfra den kan udøve sin virkning. </w:t>
      </w:r>
      <w:r w:rsidRPr="000C3301">
        <w:rPr>
          <w:rFonts w:ascii="Calibri" w:eastAsia="Times New Roman" w:hAnsi="Calibri" w:cs="Calibri"/>
          <w:sz w:val="18"/>
          <w:szCs w:val="20"/>
          <w:lang w:eastAsia="da-DK"/>
        </w:rPr>
        <w:t xml:space="preserve">Desuden en højreforskydning, da der skal flere agonistmolekyler til, før et respons </w:t>
      </w:r>
      <w:r w:rsidR="00C17048">
        <w:rPr>
          <w:rFonts w:ascii="Calibri" w:eastAsia="Times New Roman" w:hAnsi="Calibri" w:cs="Calibri"/>
          <w:sz w:val="18"/>
          <w:szCs w:val="20"/>
          <w:lang w:eastAsia="da-DK"/>
        </w:rPr>
        <w:t xml:space="preserve">overhovedet </w:t>
      </w:r>
      <w:r w:rsidRPr="000C3301">
        <w:rPr>
          <w:rFonts w:ascii="Calibri" w:eastAsia="Times New Roman" w:hAnsi="Calibri" w:cs="Calibri"/>
          <w:sz w:val="18"/>
          <w:szCs w:val="20"/>
          <w:lang w:eastAsia="da-DK"/>
        </w:rPr>
        <w:t xml:space="preserve">kan </w:t>
      </w:r>
      <w:r w:rsidR="00C17048">
        <w:rPr>
          <w:rFonts w:ascii="Calibri" w:eastAsia="Times New Roman" w:hAnsi="Calibri" w:cs="Calibri"/>
          <w:sz w:val="18"/>
          <w:szCs w:val="20"/>
          <w:lang w:eastAsia="da-DK"/>
        </w:rPr>
        <w:t>udløses</w:t>
      </w:r>
      <w:r w:rsidRPr="000C3301">
        <w:rPr>
          <w:rFonts w:ascii="Calibri" w:eastAsia="Times New Roman" w:hAnsi="Calibri" w:cs="Calibri"/>
          <w:sz w:val="18"/>
          <w:szCs w:val="20"/>
          <w:lang w:eastAsia="da-DK"/>
        </w:rPr>
        <w:t xml:space="preserve"> </w:t>
      </w:r>
      <w:r w:rsidR="00C17048">
        <w:rPr>
          <w:rFonts w:ascii="Calibri" w:eastAsia="Times New Roman" w:hAnsi="Calibri" w:cs="Calibri"/>
          <w:sz w:val="18"/>
          <w:szCs w:val="20"/>
          <w:lang w:eastAsia="da-DK"/>
        </w:rPr>
        <w:t xml:space="preserve">(nedsat potency) </w:t>
      </w:r>
      <w:r w:rsidRPr="000C3301">
        <w:rPr>
          <w:rFonts w:ascii="Calibri" w:eastAsia="Times New Roman" w:hAnsi="Calibri" w:cs="Calibri"/>
          <w:sz w:val="18"/>
          <w:szCs w:val="20"/>
          <w:lang w:eastAsia="da-DK"/>
        </w:rPr>
        <w:t>- adskillige binding sites er blokerede af irreversible kompetitive antagonister</w:t>
      </w:r>
      <w:r w:rsidR="00C17048">
        <w:rPr>
          <w:rFonts w:ascii="Calibri" w:eastAsia="Times New Roman" w:hAnsi="Calibri" w:cs="Calibri"/>
          <w:sz w:val="18"/>
          <w:szCs w:val="20"/>
          <w:lang w:eastAsia="da-DK"/>
        </w:rPr>
        <w:t>.</w:t>
      </w:r>
    </w:p>
    <w:p w:rsidR="000C3301" w:rsidRPr="000C3301" w:rsidRDefault="000C3301" w:rsidP="008657A7">
      <w:pPr>
        <w:pStyle w:val="NormalWeb"/>
        <w:spacing w:before="0" w:beforeAutospacing="0" w:after="0" w:afterAutospacing="0"/>
        <w:rPr>
          <w:rFonts w:ascii="Calibri" w:hAnsi="Calibri" w:cs="Calibri"/>
          <w:sz w:val="18"/>
          <w:szCs w:val="22"/>
        </w:rPr>
      </w:pPr>
      <w:r>
        <w:rPr>
          <w:rFonts w:ascii="Calibri" w:hAnsi="Calibri" w:cs="Calibri"/>
          <w:sz w:val="18"/>
          <w:szCs w:val="22"/>
        </w:rPr>
        <w:t xml:space="preserve"> </w:t>
      </w:r>
    </w:p>
    <w:p w:rsidR="000C3301" w:rsidRDefault="000C3301" w:rsidP="000C3301">
      <w:pPr>
        <w:pStyle w:val="NormalWeb"/>
        <w:spacing w:before="0" w:beforeAutospacing="0" w:after="0" w:afterAutospacing="0"/>
        <w:rPr>
          <w:rFonts w:ascii="Calibri" w:hAnsi="Calibri" w:cs="Calibri"/>
          <w:sz w:val="22"/>
          <w:szCs w:val="22"/>
        </w:rPr>
      </w:pPr>
      <w:r>
        <w:rPr>
          <w:rFonts w:ascii="Calibri" w:hAnsi="Calibri" w:cs="Calibri"/>
          <w:b/>
          <w:bCs/>
          <w:sz w:val="22"/>
          <w:szCs w:val="22"/>
        </w:rPr>
        <w:t>Partielle agonister</w:t>
      </w:r>
      <w:r>
        <w:rPr>
          <w:rFonts w:ascii="Calibri" w:hAnsi="Calibri" w:cs="Calibri"/>
          <w:b/>
          <w:bCs/>
          <w:sz w:val="22"/>
          <w:szCs w:val="22"/>
        </w:rPr>
        <w:br/>
      </w:r>
      <w:r>
        <w:rPr>
          <w:rFonts w:ascii="Calibri" w:hAnsi="Calibri" w:cs="Calibri"/>
          <w:sz w:val="22"/>
          <w:szCs w:val="22"/>
        </w:rPr>
        <w:t>Partielle agonister er agonister der kun kan udløse submaksimalt respons (her i relation til den fulde agonists E</w:t>
      </w:r>
      <w:r>
        <w:rPr>
          <w:rFonts w:ascii="Calibri" w:hAnsi="Calibri" w:cs="Calibri"/>
          <w:sz w:val="22"/>
          <w:szCs w:val="22"/>
          <w:vertAlign w:val="subscript"/>
        </w:rPr>
        <w:t>max</w:t>
      </w:r>
      <w:r>
        <w:rPr>
          <w:rFonts w:ascii="Calibri" w:hAnsi="Calibri" w:cs="Calibri"/>
          <w:sz w:val="22"/>
          <w:szCs w:val="22"/>
        </w:rPr>
        <w:t xml:space="preserve">). </w:t>
      </w:r>
      <w:r>
        <w:rPr>
          <w:rFonts w:ascii="Calibri" w:hAnsi="Calibri" w:cs="Calibri"/>
          <w:sz w:val="22"/>
          <w:szCs w:val="22"/>
        </w:rPr>
        <w:br/>
        <w:t xml:space="preserve">En fuld agonist kendetegnes ved at besidde en efficacy der udløser et maksimalt </w:t>
      </w:r>
      <w:r>
        <w:rPr>
          <w:rFonts w:ascii="Calibri" w:hAnsi="Calibri" w:cs="Calibri"/>
          <w:i/>
          <w:iCs/>
          <w:sz w:val="22"/>
          <w:szCs w:val="22"/>
        </w:rPr>
        <w:t>respons inden (eller senest når)</w:t>
      </w:r>
      <w:r>
        <w:rPr>
          <w:rFonts w:ascii="Calibri" w:hAnsi="Calibri" w:cs="Calibri"/>
          <w:sz w:val="22"/>
          <w:szCs w:val="22"/>
        </w:rPr>
        <w:t xml:space="preserve"> alle tilgængelige receptorer er agonistbundne. En partiel agonist vil omvendt ej udløse et maksimalt respons, selv når alle receptorer er agonistbundne, pga. dens lavere efficacy. </w:t>
      </w:r>
      <w:r>
        <w:rPr>
          <w:rFonts w:ascii="Calibri" w:hAnsi="Calibri" w:cs="Calibri"/>
          <w:sz w:val="22"/>
          <w:szCs w:val="22"/>
        </w:rPr>
        <w:br/>
        <w:t> </w:t>
      </w:r>
    </w:p>
    <w:p w:rsidR="000C3301" w:rsidRDefault="000C3301" w:rsidP="000C3301">
      <w:pPr>
        <w:pStyle w:val="NormalWeb"/>
        <w:spacing w:before="0" w:beforeAutospacing="0" w:after="0" w:afterAutospacing="0"/>
        <w:rPr>
          <w:rFonts w:ascii="Calibri" w:hAnsi="Calibri" w:cs="Calibri"/>
          <w:sz w:val="22"/>
          <w:szCs w:val="22"/>
        </w:rPr>
      </w:pPr>
      <w:r>
        <w:rPr>
          <w:rFonts w:ascii="Calibri" w:hAnsi="Calibri" w:cs="Calibri"/>
          <w:noProof/>
          <w:sz w:val="22"/>
          <w:szCs w:val="22"/>
        </w:rPr>
        <w:drawing>
          <wp:inline distT="0" distB="0" distL="0" distR="0">
            <wp:extent cx="2940050" cy="2190408"/>
            <wp:effectExtent l="0" t="0" r="0" b="635"/>
            <wp:docPr id="13" name="Billede 13" descr="1.00 &#10;0.80 &#10;0.60 &#10;0.40 &#10;0.20 &#10;0.00 &#10;0.001 &#10;0.01 &#10;0.1 &#10;10 &#10;100 &#10;Concentration (gmoVL) (log scal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1.00 &#10;0.80 &#10;0.60 &#10;0.40 &#10;0.20 &#10;0.00 &#10;0.001 &#10;0.01 &#10;0.1 &#10;10 &#10;100 &#10;Concentration (gmoVL) (log scale) "/>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85349" cy="2224157"/>
                    </a:xfrm>
                    <a:prstGeom prst="rect">
                      <a:avLst/>
                    </a:prstGeom>
                    <a:noFill/>
                    <a:ln>
                      <a:noFill/>
                    </a:ln>
                  </pic:spPr>
                </pic:pic>
              </a:graphicData>
            </a:graphic>
          </wp:inline>
        </w:drawing>
      </w:r>
    </w:p>
    <w:p w:rsidR="000C3301" w:rsidRPr="000C3301" w:rsidRDefault="000C3301" w:rsidP="000C3301">
      <w:pPr>
        <w:pStyle w:val="NormalWeb"/>
        <w:spacing w:before="0" w:beforeAutospacing="0" w:after="0" w:afterAutospacing="0"/>
        <w:rPr>
          <w:rFonts w:ascii="Calibri" w:hAnsi="Calibri" w:cs="Calibri"/>
          <w:sz w:val="18"/>
          <w:szCs w:val="20"/>
        </w:rPr>
      </w:pPr>
      <w:r w:rsidRPr="000C3301">
        <w:rPr>
          <w:rFonts w:ascii="Calibri" w:hAnsi="Calibri" w:cs="Calibri"/>
          <w:sz w:val="18"/>
          <w:szCs w:val="20"/>
        </w:rPr>
        <w:t xml:space="preserve">I koordinatsystemet, hvor respons plottes mod koncentration (på en log-skala) ses én fuld agonist (lilla) og adskillige partielle agonister (resterende). </w:t>
      </w:r>
    </w:p>
    <w:p w:rsidR="000C3301" w:rsidRPr="000C3301" w:rsidRDefault="000C3301" w:rsidP="000C3301">
      <w:pPr>
        <w:pStyle w:val="NormalWeb"/>
        <w:spacing w:before="0" w:beforeAutospacing="0" w:after="0" w:afterAutospacing="0"/>
        <w:rPr>
          <w:rFonts w:ascii="Calibri" w:hAnsi="Calibri" w:cs="Calibri"/>
          <w:sz w:val="20"/>
          <w:szCs w:val="22"/>
        </w:rPr>
      </w:pPr>
      <w:r w:rsidRPr="000C3301">
        <w:rPr>
          <w:rFonts w:ascii="Calibri" w:hAnsi="Calibri" w:cs="Calibri"/>
          <w:sz w:val="20"/>
          <w:szCs w:val="22"/>
        </w:rPr>
        <w:t> </w:t>
      </w:r>
    </w:p>
    <w:p w:rsidR="000C3301" w:rsidRDefault="000C3301" w:rsidP="000C3301">
      <w:pPr>
        <w:pStyle w:val="NormalWeb"/>
        <w:spacing w:before="0" w:beforeAutospacing="0" w:after="0" w:afterAutospacing="0"/>
        <w:rPr>
          <w:rFonts w:ascii="Calibri" w:hAnsi="Calibri" w:cs="Calibri"/>
          <w:sz w:val="22"/>
          <w:szCs w:val="22"/>
        </w:rPr>
      </w:pPr>
      <w:r>
        <w:rPr>
          <w:rFonts w:ascii="Calibri" w:hAnsi="Calibri" w:cs="Calibri"/>
          <w:noProof/>
          <w:sz w:val="22"/>
          <w:szCs w:val="22"/>
        </w:rPr>
        <w:lastRenderedPageBreak/>
        <w:drawing>
          <wp:inline distT="0" distB="0" distL="0" distR="0">
            <wp:extent cx="2977312" cy="2254250"/>
            <wp:effectExtent l="0" t="0" r="0" b="0"/>
            <wp:docPr id="12" name="Billede 12" descr="8 &#10;8 유 유 &#10;('넨크/크) esuodseu &#10;8°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8 &#10;8 유 유 &#10;('넨크/크) esuodseu &#10;8° "/>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01855" cy="2272832"/>
                    </a:xfrm>
                    <a:prstGeom prst="rect">
                      <a:avLst/>
                    </a:prstGeom>
                    <a:noFill/>
                    <a:ln>
                      <a:noFill/>
                    </a:ln>
                  </pic:spPr>
                </pic:pic>
              </a:graphicData>
            </a:graphic>
          </wp:inline>
        </w:drawing>
      </w:r>
    </w:p>
    <w:p w:rsidR="000C3301" w:rsidRDefault="000C3301" w:rsidP="000C3301">
      <w:pPr>
        <w:pStyle w:val="NormalWeb"/>
        <w:spacing w:before="0" w:beforeAutospacing="0" w:after="0" w:afterAutospacing="0"/>
        <w:rPr>
          <w:rFonts w:ascii="Calibri" w:hAnsi="Calibri" w:cs="Calibri"/>
          <w:sz w:val="22"/>
          <w:szCs w:val="22"/>
        </w:rPr>
      </w:pPr>
      <w:r w:rsidRPr="000C3301">
        <w:rPr>
          <w:rFonts w:ascii="Calibri" w:hAnsi="Calibri" w:cs="Calibri"/>
          <w:sz w:val="18"/>
          <w:szCs w:val="20"/>
        </w:rPr>
        <w:t xml:space="preserve">På figuren, hvor respons plottes mod agonistbundne receptorer, ses det, at den fulde agonist </w:t>
      </w:r>
      <w:r w:rsidRPr="000C3301">
        <w:rPr>
          <w:rFonts w:ascii="Calibri" w:hAnsi="Calibri" w:cs="Calibri"/>
          <w:i/>
          <w:iCs/>
          <w:sz w:val="18"/>
          <w:szCs w:val="20"/>
        </w:rPr>
        <w:t>næsten</w:t>
      </w:r>
      <w:r w:rsidRPr="000C3301">
        <w:rPr>
          <w:rFonts w:ascii="Calibri" w:hAnsi="Calibri" w:cs="Calibri"/>
          <w:sz w:val="18"/>
          <w:szCs w:val="20"/>
        </w:rPr>
        <w:t xml:space="preserve"> udløser et maksimalt respons når kun halvdelen af receptorerne er bundne. Samtidig ses det, at de partielle agonister, selv når alle receptorer er bundne, ej udløser et maksimalt respons. </w:t>
      </w:r>
    </w:p>
    <w:p w:rsidR="000C3301" w:rsidRDefault="000C3301" w:rsidP="000C3301">
      <w:pPr>
        <w:pStyle w:val="NormalWeb"/>
        <w:spacing w:before="0" w:beforeAutospacing="0" w:after="0" w:afterAutospacing="0"/>
        <w:rPr>
          <w:rFonts w:ascii="Calibri" w:hAnsi="Calibri" w:cs="Calibri"/>
          <w:sz w:val="22"/>
          <w:szCs w:val="22"/>
        </w:rPr>
      </w:pPr>
    </w:p>
    <w:p w:rsidR="000C3301" w:rsidRDefault="000C3301" w:rsidP="000C3301">
      <w:pPr>
        <w:pStyle w:val="NormalWeb"/>
        <w:spacing w:before="0" w:beforeAutospacing="0" w:after="0" w:afterAutospacing="0"/>
        <w:rPr>
          <w:rFonts w:ascii="Calibri" w:hAnsi="Calibri" w:cs="Calibri"/>
          <w:sz w:val="22"/>
          <w:szCs w:val="22"/>
        </w:rPr>
      </w:pPr>
      <w:r>
        <w:rPr>
          <w:rFonts w:ascii="Calibri" w:hAnsi="Calibri" w:cs="Calibri"/>
          <w:b/>
          <w:bCs/>
          <w:sz w:val="22"/>
          <w:szCs w:val="22"/>
        </w:rPr>
        <w:t>Inverse agonister</w:t>
      </w:r>
      <w:r>
        <w:rPr>
          <w:rFonts w:ascii="Calibri" w:hAnsi="Calibri" w:cs="Calibri"/>
          <w:b/>
          <w:bCs/>
          <w:sz w:val="22"/>
          <w:szCs w:val="22"/>
        </w:rPr>
        <w:br/>
      </w:r>
      <w:r>
        <w:rPr>
          <w:rFonts w:ascii="Calibri" w:hAnsi="Calibri" w:cs="Calibri"/>
          <w:sz w:val="22"/>
          <w:szCs w:val="22"/>
        </w:rPr>
        <w:t xml:space="preserve">Inverse agonister er i modsætning til antagonister, som blot blokerer binding sites for agonister, "aktive" molekyler, i den forstand, at de </w:t>
      </w:r>
      <w:r>
        <w:rPr>
          <w:rFonts w:ascii="Calibri" w:hAnsi="Calibri" w:cs="Calibri"/>
          <w:i/>
          <w:iCs/>
          <w:sz w:val="22"/>
          <w:szCs w:val="22"/>
        </w:rPr>
        <w:t>slukker</w:t>
      </w:r>
      <w:r>
        <w:rPr>
          <w:rFonts w:ascii="Calibri" w:hAnsi="Calibri" w:cs="Calibri"/>
          <w:sz w:val="22"/>
          <w:szCs w:val="22"/>
        </w:rPr>
        <w:t xml:space="preserve"> eller </w:t>
      </w:r>
      <w:r>
        <w:rPr>
          <w:rFonts w:ascii="Calibri" w:hAnsi="Calibri" w:cs="Calibri"/>
          <w:i/>
          <w:iCs/>
          <w:sz w:val="22"/>
          <w:szCs w:val="22"/>
        </w:rPr>
        <w:t>inaktiverer</w:t>
      </w:r>
      <w:r>
        <w:rPr>
          <w:rFonts w:ascii="Calibri" w:hAnsi="Calibri" w:cs="Calibri"/>
          <w:sz w:val="22"/>
          <w:szCs w:val="22"/>
        </w:rPr>
        <w:t xml:space="preserve"> konstitutivt aktive receptorer (dvs. receptorer som i fravær af agonister/antagonister er aktive "af sig selv").</w:t>
      </w:r>
      <w:r>
        <w:rPr>
          <w:rFonts w:ascii="Calibri" w:hAnsi="Calibri" w:cs="Calibri"/>
          <w:sz w:val="22"/>
          <w:szCs w:val="22"/>
        </w:rPr>
        <w:br/>
        <w:t xml:space="preserve">Inverse agonister siges derfor at have </w:t>
      </w:r>
      <w:r>
        <w:rPr>
          <w:rFonts w:ascii="Calibri" w:hAnsi="Calibri" w:cs="Calibri"/>
          <w:i/>
          <w:iCs/>
          <w:sz w:val="22"/>
          <w:szCs w:val="22"/>
        </w:rPr>
        <w:t>negativ efficacy</w:t>
      </w:r>
      <w:r>
        <w:rPr>
          <w:rFonts w:ascii="Calibri" w:hAnsi="Calibri" w:cs="Calibri"/>
          <w:sz w:val="22"/>
          <w:szCs w:val="22"/>
        </w:rPr>
        <w:t xml:space="preserve">. </w:t>
      </w:r>
      <w:r>
        <w:rPr>
          <w:rFonts w:ascii="Calibri" w:hAnsi="Calibri" w:cs="Calibri"/>
          <w:sz w:val="22"/>
          <w:szCs w:val="22"/>
        </w:rPr>
        <w:br/>
        <w:t xml:space="preserve">Mange medikamenter, der tidligere blev antaget som værende antagonister, er i virkeligheden inverse agonister - det skal forstås på den måde, at de inducerer en konformationsændring i deres pågældende receptor, der medfører at denne inaktiveres. </w:t>
      </w:r>
      <w:r>
        <w:rPr>
          <w:rFonts w:ascii="Calibri" w:hAnsi="Calibri" w:cs="Calibri"/>
          <w:sz w:val="22"/>
          <w:szCs w:val="22"/>
        </w:rPr>
        <w:br/>
        <w:t xml:space="preserve">En invers agonist der virker på en konstitutivt </w:t>
      </w:r>
      <w:r>
        <w:rPr>
          <w:rFonts w:ascii="Calibri" w:hAnsi="Calibri" w:cs="Calibri"/>
          <w:i/>
          <w:iCs/>
          <w:sz w:val="22"/>
          <w:szCs w:val="22"/>
        </w:rPr>
        <w:t xml:space="preserve">inaktiv </w:t>
      </w:r>
      <w:r>
        <w:rPr>
          <w:rFonts w:ascii="Calibri" w:hAnsi="Calibri" w:cs="Calibri"/>
          <w:sz w:val="22"/>
          <w:szCs w:val="22"/>
        </w:rPr>
        <w:t xml:space="preserve">receptor vil dog ej udløse et respons på trods af dets ellers negative efficacy, hvorfor det ikke gør nogen praktisk forskel om der egentlig er tale om en antagonist eller en invers agonist. Resultatet, nemlig at agonistbinding og følgende receptoraktivering hæmmes, er det samme. </w:t>
      </w:r>
      <w:r>
        <w:rPr>
          <w:rFonts w:ascii="Calibri" w:hAnsi="Calibri" w:cs="Calibri"/>
          <w:sz w:val="22"/>
          <w:szCs w:val="22"/>
        </w:rPr>
        <w:br/>
        <w:t xml:space="preserve">Den inverse agonist "inaktiverer" muligvis receptoren, men denne er jo i </w:t>
      </w:r>
      <w:r>
        <w:rPr>
          <w:rFonts w:ascii="Calibri" w:hAnsi="Calibri" w:cs="Calibri"/>
          <w:i/>
          <w:iCs/>
          <w:sz w:val="22"/>
          <w:szCs w:val="22"/>
        </w:rPr>
        <w:t>forvejen</w:t>
      </w:r>
      <w:r>
        <w:rPr>
          <w:rFonts w:ascii="Calibri" w:hAnsi="Calibri" w:cs="Calibri"/>
          <w:sz w:val="22"/>
          <w:szCs w:val="22"/>
        </w:rPr>
        <w:t xml:space="preserve"> inaktiv. </w:t>
      </w:r>
      <w:r>
        <w:rPr>
          <w:rFonts w:ascii="Calibri" w:hAnsi="Calibri" w:cs="Calibri"/>
          <w:sz w:val="22"/>
          <w:szCs w:val="22"/>
        </w:rPr>
        <w:br/>
        <w:t xml:space="preserve"> </w:t>
      </w:r>
      <w:r>
        <w:rPr>
          <w:rFonts w:ascii="Calibri" w:hAnsi="Calibri" w:cs="Calibri"/>
          <w:sz w:val="22"/>
          <w:szCs w:val="22"/>
        </w:rPr>
        <w:br/>
        <w:t> </w:t>
      </w:r>
    </w:p>
    <w:p w:rsidR="000C3301" w:rsidRDefault="000C3301" w:rsidP="000C3301">
      <w:pPr>
        <w:pStyle w:val="NormalWeb"/>
        <w:spacing w:before="0" w:beforeAutospacing="0" w:after="0" w:afterAutospacing="0"/>
        <w:rPr>
          <w:rFonts w:ascii="Calibri" w:hAnsi="Calibri" w:cs="Calibri"/>
          <w:sz w:val="22"/>
          <w:szCs w:val="22"/>
        </w:rPr>
      </w:pPr>
      <w:r>
        <w:rPr>
          <w:rFonts w:ascii="Calibri" w:hAnsi="Calibri" w:cs="Calibri"/>
          <w:noProof/>
          <w:sz w:val="22"/>
          <w:szCs w:val="22"/>
        </w:rPr>
        <w:drawing>
          <wp:inline distT="0" distB="0" distL="0" distR="0">
            <wp:extent cx="2951213" cy="2870200"/>
            <wp:effectExtent l="0" t="0" r="1905" b="6350"/>
            <wp:docPr id="14" name="Billede 14" descr="100 &#10;100 &#10;50 &#10;一 」 日 · ntra 1 (M) &#10;7 &#10;Constitutivelevelot &#10;「 § ac 一 ~ on &#10;0 一 at 一 一 8 一 5 一 &#10;「 0 rxe 黛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100 &#10;100 &#10;50 &#10;一 」 日 · ntra 1 (M) &#10;7 &#10;Constitutivelevelot &#10;「 § ac 一 ~ on &#10;0 一 at 一 一 8 一 5 一 &#10;「 0 rxe 黛 "/>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64229" cy="2882858"/>
                    </a:xfrm>
                    <a:prstGeom prst="rect">
                      <a:avLst/>
                    </a:prstGeom>
                    <a:noFill/>
                    <a:ln>
                      <a:noFill/>
                    </a:ln>
                  </pic:spPr>
                </pic:pic>
              </a:graphicData>
            </a:graphic>
          </wp:inline>
        </w:drawing>
      </w:r>
    </w:p>
    <w:p w:rsidR="000C3301" w:rsidRDefault="000C3301" w:rsidP="000C3301">
      <w:pPr>
        <w:pStyle w:val="NormalWeb"/>
        <w:spacing w:before="0" w:beforeAutospacing="0" w:after="0" w:afterAutospacing="0"/>
        <w:rPr>
          <w:rFonts w:ascii="Calibri" w:hAnsi="Calibri" w:cs="Calibri"/>
          <w:sz w:val="18"/>
          <w:szCs w:val="20"/>
        </w:rPr>
      </w:pPr>
      <w:r w:rsidRPr="000C3301">
        <w:rPr>
          <w:rFonts w:ascii="Calibri" w:hAnsi="Calibri" w:cs="Calibri"/>
          <w:sz w:val="18"/>
          <w:szCs w:val="20"/>
        </w:rPr>
        <w:lastRenderedPageBreak/>
        <w:t xml:space="preserve">Koncentrations-effekt-kurve: </w:t>
      </w:r>
      <w:r w:rsidRPr="000C3301">
        <w:rPr>
          <w:rFonts w:ascii="Calibri" w:hAnsi="Calibri" w:cs="Calibri"/>
          <w:sz w:val="18"/>
          <w:szCs w:val="20"/>
        </w:rPr>
        <w:br/>
        <w:t xml:space="preserve">I koordinatsystemet sammenlignes en uforstyrret agonist, med en agonist i selskab med en antagonist. </w:t>
      </w:r>
      <w:r w:rsidRPr="000C3301">
        <w:rPr>
          <w:rFonts w:ascii="Calibri" w:hAnsi="Calibri" w:cs="Calibri"/>
          <w:sz w:val="18"/>
          <w:szCs w:val="20"/>
        </w:rPr>
        <w:br/>
        <w:t>Vi ser, sv.t. ovenstående, at grafen højreforskydes, men forbliver uændret mhp. E</w:t>
      </w:r>
      <w:r w:rsidRPr="000C3301">
        <w:rPr>
          <w:rFonts w:ascii="Calibri" w:hAnsi="Calibri" w:cs="Calibri"/>
          <w:sz w:val="18"/>
          <w:szCs w:val="20"/>
          <w:vertAlign w:val="subscript"/>
        </w:rPr>
        <w:t xml:space="preserve">max </w:t>
      </w:r>
      <w:r w:rsidRPr="000C3301">
        <w:rPr>
          <w:rFonts w:ascii="Calibri" w:hAnsi="Calibri" w:cs="Calibri"/>
          <w:sz w:val="18"/>
          <w:szCs w:val="20"/>
        </w:rPr>
        <w:t>og hældning.</w:t>
      </w:r>
      <w:r w:rsidRPr="000C3301">
        <w:rPr>
          <w:rFonts w:ascii="Calibri" w:hAnsi="Calibri" w:cs="Calibri"/>
          <w:sz w:val="18"/>
          <w:szCs w:val="20"/>
        </w:rPr>
        <w:br/>
        <w:t xml:space="preserve">I koordinatsystemet sammenlignes yderligere en uforstyrret invers agonist, med en invers agonist i selskab med en antagonist. Sv.t. agonisten, sker der her en højreforskydning af grafen, men ingen ændring i hverken respons eller hældning. </w:t>
      </w:r>
    </w:p>
    <w:p w:rsidR="00C54667" w:rsidRDefault="00C54667" w:rsidP="000C3301">
      <w:pPr>
        <w:pStyle w:val="NormalWeb"/>
        <w:spacing w:before="0" w:beforeAutospacing="0" w:after="0" w:afterAutospacing="0"/>
        <w:rPr>
          <w:rFonts w:ascii="Calibri" w:hAnsi="Calibri" w:cs="Calibri"/>
          <w:sz w:val="18"/>
          <w:szCs w:val="20"/>
        </w:rPr>
      </w:pPr>
    </w:p>
    <w:p w:rsidR="00C54667" w:rsidRDefault="001B500B" w:rsidP="00C54667">
      <w:pPr>
        <w:pStyle w:val="NormalWeb"/>
        <w:spacing w:before="0" w:beforeAutospacing="0" w:after="0" w:afterAutospacing="0"/>
        <w:rPr>
          <w:rFonts w:ascii="Calibri" w:hAnsi="Calibri" w:cs="Calibri"/>
          <w:sz w:val="22"/>
          <w:szCs w:val="22"/>
        </w:rPr>
      </w:pPr>
      <w:r>
        <w:rPr>
          <w:rFonts w:ascii="Calibri" w:hAnsi="Calibri" w:cs="Calibri"/>
          <w:noProof/>
          <w:sz w:val="22"/>
          <w:szCs w:val="22"/>
        </w:rPr>
        <w:drawing>
          <wp:anchor distT="0" distB="0" distL="114300" distR="114300" simplePos="0" relativeHeight="251664384" behindDoc="0" locked="0" layoutInCell="1" allowOverlap="1">
            <wp:simplePos x="0" y="0"/>
            <wp:positionH relativeFrom="column">
              <wp:posOffset>3159760</wp:posOffset>
            </wp:positionH>
            <wp:positionV relativeFrom="paragraph">
              <wp:posOffset>69850</wp:posOffset>
            </wp:positionV>
            <wp:extent cx="3303905" cy="2349500"/>
            <wp:effectExtent l="0" t="0" r="0" b="0"/>
            <wp:wrapSquare wrapText="bothSides"/>
            <wp:docPr id="15" name="Billede 15" descr="Billedresultat for two state receptor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Billedresultat for two state receptor mode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03905" cy="2349500"/>
                    </a:xfrm>
                    <a:prstGeom prst="rect">
                      <a:avLst/>
                    </a:prstGeom>
                    <a:noFill/>
                    <a:ln>
                      <a:noFill/>
                    </a:ln>
                  </pic:spPr>
                </pic:pic>
              </a:graphicData>
            </a:graphic>
            <wp14:sizeRelH relativeFrom="page">
              <wp14:pctWidth>0</wp14:pctWidth>
            </wp14:sizeRelH>
            <wp14:sizeRelV relativeFrom="page">
              <wp14:pctHeight>0</wp14:pctHeight>
            </wp14:sizeRelV>
          </wp:anchor>
        </w:drawing>
      </w:r>
      <w:r w:rsidR="00C54667">
        <w:rPr>
          <w:rFonts w:ascii="Calibri" w:hAnsi="Calibri" w:cs="Calibri"/>
          <w:b/>
          <w:bCs/>
          <w:sz w:val="22"/>
          <w:szCs w:val="22"/>
        </w:rPr>
        <w:t xml:space="preserve">Two-state receptormodellen </w:t>
      </w:r>
      <w:r w:rsidR="00C54667">
        <w:rPr>
          <w:rFonts w:ascii="Calibri" w:hAnsi="Calibri" w:cs="Calibri"/>
          <w:b/>
          <w:bCs/>
          <w:sz w:val="22"/>
          <w:szCs w:val="22"/>
        </w:rPr>
        <w:br/>
      </w:r>
      <w:r w:rsidR="00C54667">
        <w:rPr>
          <w:rFonts w:ascii="Calibri" w:hAnsi="Calibri" w:cs="Calibri"/>
          <w:sz w:val="22"/>
          <w:szCs w:val="22"/>
        </w:rPr>
        <w:t xml:space="preserve">Beskriver efficacy, e, som en molekyleegenskab bestemt ved molekylets relative affinitet for enten R (inaktiv receptor) eller R* (aktiv receptor). Modellen tager højde for dels inverse agonister, dels konstitutivt aktive receptorer (altså receptorer der er aktive "af sig selv"). </w:t>
      </w:r>
      <w:r w:rsidR="00C54667">
        <w:rPr>
          <w:rFonts w:ascii="Calibri" w:hAnsi="Calibri" w:cs="Calibri"/>
          <w:sz w:val="22"/>
          <w:szCs w:val="22"/>
        </w:rPr>
        <w:br/>
        <w:t xml:space="preserve">Modellen erstatter </w:t>
      </w:r>
      <w:r w:rsidR="00C54667">
        <w:rPr>
          <w:rFonts w:ascii="Calibri" w:hAnsi="Calibri" w:cs="Calibri"/>
          <w:i/>
          <w:iCs/>
          <w:sz w:val="22"/>
          <w:szCs w:val="22"/>
        </w:rPr>
        <w:t xml:space="preserve">ikke </w:t>
      </w:r>
      <w:r w:rsidR="00C54667">
        <w:rPr>
          <w:rFonts w:ascii="Calibri" w:hAnsi="Calibri" w:cs="Calibri"/>
          <w:sz w:val="22"/>
          <w:szCs w:val="22"/>
        </w:rPr>
        <w:t xml:space="preserve">den model vi så tidligere, af årsager der klargøres i nedenstående. </w:t>
      </w:r>
    </w:p>
    <w:p w:rsidR="00C54667" w:rsidRDefault="00C54667" w:rsidP="00C54667">
      <w:pPr>
        <w:pStyle w:val="NormalWeb"/>
        <w:spacing w:before="0" w:beforeAutospacing="0" w:after="0" w:afterAutospacing="0"/>
        <w:rPr>
          <w:rFonts w:ascii="Calibri" w:hAnsi="Calibri" w:cs="Calibri"/>
          <w:sz w:val="22"/>
          <w:szCs w:val="22"/>
        </w:rPr>
      </w:pPr>
    </w:p>
    <w:p w:rsidR="00C54667" w:rsidRPr="00C54667" w:rsidRDefault="00C54667" w:rsidP="00C54667">
      <w:pPr>
        <w:pStyle w:val="NormalWeb"/>
        <w:spacing w:before="0" w:beforeAutospacing="0" w:after="0" w:afterAutospacing="0"/>
        <w:rPr>
          <w:rFonts w:ascii="Calibri" w:hAnsi="Calibri" w:cs="Calibri"/>
          <w:sz w:val="18"/>
          <w:szCs w:val="20"/>
        </w:rPr>
      </w:pPr>
      <w:r w:rsidRPr="00C54667">
        <w:rPr>
          <w:rFonts w:ascii="Calibri" w:hAnsi="Calibri" w:cs="Calibri"/>
          <w:i/>
          <w:iCs/>
          <w:sz w:val="18"/>
          <w:szCs w:val="20"/>
        </w:rPr>
        <w:t>Two-state receptormodel</w:t>
      </w:r>
    </w:p>
    <w:p w:rsidR="00C54667" w:rsidRDefault="00C54667" w:rsidP="00C54667">
      <w:pPr>
        <w:pStyle w:val="NormalWeb"/>
        <w:spacing w:before="0" w:beforeAutospacing="0" w:after="0" w:afterAutospacing="0"/>
        <w:rPr>
          <w:rFonts w:ascii="Calibri" w:hAnsi="Calibri" w:cs="Calibri"/>
          <w:color w:val="0070C0"/>
          <w:sz w:val="20"/>
          <w:szCs w:val="20"/>
        </w:rPr>
      </w:pPr>
      <w:r w:rsidRPr="00C54667">
        <w:rPr>
          <w:rFonts w:ascii="Calibri" w:hAnsi="Calibri" w:cs="Calibri"/>
          <w:sz w:val="18"/>
          <w:szCs w:val="20"/>
        </w:rPr>
        <w:t xml:space="preserve">Inverse agonister ses at have større affinitet for R - dvs. tilbøjelighed til at ændre receptorens konformation, således denne antager R-form. Derfor skubber inverse agonister ligevægten mod venstre. </w:t>
      </w:r>
      <w:r w:rsidRPr="00C54667">
        <w:rPr>
          <w:rFonts w:ascii="Calibri" w:hAnsi="Calibri" w:cs="Calibri"/>
          <w:sz w:val="18"/>
          <w:szCs w:val="20"/>
        </w:rPr>
        <w:br/>
      </w:r>
      <w:r w:rsidRPr="00C54667">
        <w:rPr>
          <w:rFonts w:ascii="Calibri" w:hAnsi="Calibri" w:cs="Calibri"/>
          <w:sz w:val="18"/>
          <w:szCs w:val="20"/>
        </w:rPr>
        <w:br/>
        <w:t xml:space="preserve">Agonister ses at have større affinitet for R* - dvs. tilbøjelighed til at ændre receptorens konformation, således denne antager R*-form. Derfor skubber agonister ligevægten mod højre. </w:t>
      </w:r>
      <w:r w:rsidRPr="00C54667">
        <w:rPr>
          <w:rFonts w:ascii="Calibri" w:hAnsi="Calibri" w:cs="Calibri"/>
          <w:sz w:val="18"/>
          <w:szCs w:val="20"/>
        </w:rPr>
        <w:br/>
      </w:r>
      <w:r w:rsidRPr="00C54667">
        <w:rPr>
          <w:rFonts w:ascii="Calibri" w:hAnsi="Calibri" w:cs="Calibri"/>
          <w:sz w:val="18"/>
          <w:szCs w:val="20"/>
        </w:rPr>
        <w:br/>
        <w:t xml:space="preserve">Antagonister ses at have lige stor affinitet for R og R* (i form af konstitutivt aktive receptorer) og ændrer derfor ikke på den </w:t>
      </w:r>
      <w:r w:rsidRPr="00C54667">
        <w:rPr>
          <w:rFonts w:ascii="Calibri" w:hAnsi="Calibri" w:cs="Calibri"/>
          <w:i/>
          <w:iCs/>
          <w:sz w:val="18"/>
          <w:szCs w:val="20"/>
        </w:rPr>
        <w:t xml:space="preserve">konstitutive </w:t>
      </w:r>
      <w:r w:rsidRPr="00C54667">
        <w:rPr>
          <w:rFonts w:ascii="Calibri" w:hAnsi="Calibri" w:cs="Calibri"/>
          <w:sz w:val="18"/>
          <w:szCs w:val="20"/>
        </w:rPr>
        <w:t xml:space="preserve">ligevægt - de ændrer dog ved ligevægten ved at blokere både aktive og inaktive receptorer for hhv. agonister og inverse agonister. </w:t>
      </w:r>
      <w:r>
        <w:rPr>
          <w:rFonts w:ascii="Calibri" w:hAnsi="Calibri" w:cs="Calibri"/>
          <w:color w:val="0070C0"/>
          <w:sz w:val="20"/>
          <w:szCs w:val="20"/>
        </w:rPr>
        <w:br/>
        <w:t> </w:t>
      </w:r>
    </w:p>
    <w:p w:rsidR="001B500B" w:rsidRDefault="001B500B" w:rsidP="001B500B">
      <w:pPr>
        <w:pStyle w:val="NormalWeb"/>
        <w:spacing w:before="0" w:beforeAutospacing="0" w:after="0" w:afterAutospacing="0"/>
        <w:rPr>
          <w:rFonts w:ascii="Calibri" w:hAnsi="Calibri" w:cs="Calibri"/>
          <w:sz w:val="22"/>
          <w:szCs w:val="22"/>
        </w:rPr>
      </w:pPr>
      <w:r>
        <w:rPr>
          <w:rFonts w:ascii="Calibri" w:hAnsi="Calibri" w:cs="Calibri"/>
          <w:b/>
          <w:bCs/>
          <w:sz w:val="22"/>
          <w:szCs w:val="22"/>
        </w:rPr>
        <w:t>Partisk agonisme</w:t>
      </w:r>
      <w:r>
        <w:rPr>
          <w:rFonts w:ascii="Calibri" w:hAnsi="Calibri" w:cs="Calibri"/>
          <w:b/>
          <w:bCs/>
          <w:sz w:val="22"/>
          <w:szCs w:val="22"/>
        </w:rPr>
        <w:br/>
      </w:r>
      <w:r>
        <w:rPr>
          <w:rFonts w:ascii="Calibri" w:hAnsi="Calibri" w:cs="Calibri"/>
          <w:sz w:val="22"/>
          <w:szCs w:val="22"/>
        </w:rPr>
        <w:t xml:space="preserve">For at forstå begrebet </w:t>
      </w:r>
      <w:proofErr w:type="spellStart"/>
      <w:r>
        <w:rPr>
          <w:rFonts w:ascii="Calibri" w:hAnsi="Calibri" w:cs="Calibri"/>
          <w:i/>
          <w:iCs/>
          <w:sz w:val="22"/>
          <w:szCs w:val="22"/>
        </w:rPr>
        <w:t>biased</w:t>
      </w:r>
      <w:proofErr w:type="spellEnd"/>
      <w:r>
        <w:rPr>
          <w:rFonts w:ascii="Calibri" w:hAnsi="Calibri" w:cs="Calibri"/>
          <w:i/>
          <w:iCs/>
          <w:sz w:val="22"/>
          <w:szCs w:val="22"/>
        </w:rPr>
        <w:t xml:space="preserve"> </w:t>
      </w:r>
      <w:proofErr w:type="spellStart"/>
      <w:r>
        <w:rPr>
          <w:rFonts w:ascii="Calibri" w:hAnsi="Calibri" w:cs="Calibri"/>
          <w:i/>
          <w:iCs/>
          <w:sz w:val="22"/>
          <w:szCs w:val="22"/>
        </w:rPr>
        <w:t>agonism</w:t>
      </w:r>
      <w:proofErr w:type="spellEnd"/>
      <w:r>
        <w:rPr>
          <w:rFonts w:ascii="Calibri" w:hAnsi="Calibri" w:cs="Calibri"/>
          <w:sz w:val="22"/>
          <w:szCs w:val="22"/>
        </w:rPr>
        <w:t xml:space="preserve">, bør man forstå, at receptorer sjældent kun udviser én form for inaktiv og én form for aktiv konformation; derimod altså ofte flere. </w:t>
      </w:r>
      <w:r>
        <w:rPr>
          <w:rFonts w:ascii="Calibri" w:hAnsi="Calibri" w:cs="Calibri"/>
          <w:sz w:val="22"/>
          <w:szCs w:val="22"/>
        </w:rPr>
        <w:br/>
        <w:t xml:space="preserve">Disse receptorer kan eksempelvis være knyttet til flere forskellige intracellulære </w:t>
      </w:r>
      <w:proofErr w:type="spellStart"/>
      <w:r>
        <w:rPr>
          <w:rFonts w:ascii="Calibri" w:hAnsi="Calibri" w:cs="Calibri"/>
          <w:sz w:val="22"/>
          <w:szCs w:val="22"/>
        </w:rPr>
        <w:t>pathways</w:t>
      </w:r>
      <w:proofErr w:type="spellEnd"/>
      <w:r>
        <w:rPr>
          <w:rFonts w:ascii="Calibri" w:hAnsi="Calibri" w:cs="Calibri"/>
          <w:sz w:val="22"/>
          <w:szCs w:val="22"/>
        </w:rPr>
        <w:t xml:space="preserve"> på én og samme tid, som hver især igangsættes med højere eller lavere ratio end de andre, afhængig af hvilken agonist der binder sig til den. En agonist kan således være mere tilbøjelig til at igangsætte én intracellulær pathway på receptor X, mens en anden agonist kan være mere tilbøjelig til at igangsætte en anden intracellulær pathway ved binding til samme receptor X. </w:t>
      </w:r>
      <w:r>
        <w:rPr>
          <w:rFonts w:ascii="Calibri" w:hAnsi="Calibri" w:cs="Calibri"/>
          <w:sz w:val="22"/>
          <w:szCs w:val="22"/>
        </w:rPr>
        <w:br/>
      </w:r>
      <w:r>
        <w:rPr>
          <w:rFonts w:ascii="Calibri" w:hAnsi="Calibri" w:cs="Calibri"/>
          <w:sz w:val="22"/>
          <w:szCs w:val="22"/>
        </w:rPr>
        <w:br/>
        <w:t> </w:t>
      </w:r>
    </w:p>
    <w:p w:rsidR="001B500B" w:rsidRDefault="001B500B" w:rsidP="001B500B">
      <w:pPr>
        <w:pStyle w:val="NormalWeb"/>
        <w:spacing w:before="0" w:beforeAutospacing="0" w:after="0" w:afterAutospacing="0"/>
        <w:rPr>
          <w:rFonts w:ascii="Calibri" w:hAnsi="Calibri" w:cs="Calibri"/>
          <w:sz w:val="22"/>
          <w:szCs w:val="22"/>
        </w:rPr>
      </w:pPr>
      <w:r>
        <w:rPr>
          <w:rFonts w:ascii="Calibri" w:hAnsi="Calibri" w:cs="Calibri"/>
          <w:noProof/>
          <w:sz w:val="22"/>
          <w:szCs w:val="22"/>
        </w:rPr>
        <w:drawing>
          <wp:inline distT="0" distB="0" distL="0" distR="0">
            <wp:extent cx="6115050" cy="1822450"/>
            <wp:effectExtent l="0" t="0" r="0" b="6350"/>
            <wp:docPr id="17" name="Bille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5050" cy="1822450"/>
                    </a:xfrm>
                    <a:prstGeom prst="rect">
                      <a:avLst/>
                    </a:prstGeom>
                    <a:noFill/>
                    <a:ln>
                      <a:noFill/>
                    </a:ln>
                  </pic:spPr>
                </pic:pic>
              </a:graphicData>
            </a:graphic>
          </wp:inline>
        </w:drawing>
      </w:r>
    </w:p>
    <w:p w:rsidR="001B500B" w:rsidRDefault="001B500B" w:rsidP="001B500B">
      <w:pPr>
        <w:pStyle w:val="NormalWeb"/>
        <w:spacing w:before="0" w:beforeAutospacing="0" w:after="0" w:afterAutospacing="0"/>
        <w:rPr>
          <w:rFonts w:ascii="Calibri" w:hAnsi="Calibri" w:cs="Calibri"/>
          <w:color w:val="0070C0"/>
          <w:sz w:val="20"/>
          <w:szCs w:val="20"/>
        </w:rPr>
      </w:pPr>
      <w:r w:rsidRPr="001B500B">
        <w:rPr>
          <w:rFonts w:ascii="Calibri" w:hAnsi="Calibri" w:cs="Calibri"/>
          <w:sz w:val="18"/>
          <w:szCs w:val="20"/>
        </w:rPr>
        <w:t xml:space="preserve">I den traditionelle agonismeteori antog man, at de agonister, der bandt til samme receptor, igangsætte samme intracellulære værtsrespons. På baggrund af nyere forskning står det dog klart, at visse agonister kan være tilbøjelige til at igangsætte én intracellulær pathway med højere ratio end en anden, selvom receptoren kan igangsætte begge. </w:t>
      </w:r>
      <w:r>
        <w:rPr>
          <w:rFonts w:ascii="Calibri" w:hAnsi="Calibri" w:cs="Calibri"/>
          <w:color w:val="0070C0"/>
          <w:sz w:val="20"/>
          <w:szCs w:val="20"/>
        </w:rPr>
        <w:br/>
        <w:t> </w:t>
      </w:r>
    </w:p>
    <w:p w:rsidR="001B500B" w:rsidRDefault="001B500B" w:rsidP="001B500B">
      <w:pPr>
        <w:pStyle w:val="NormalWeb"/>
        <w:spacing w:before="0" w:beforeAutospacing="0" w:after="0" w:afterAutospacing="0"/>
        <w:rPr>
          <w:rFonts w:ascii="Calibri" w:hAnsi="Calibri" w:cs="Calibri"/>
          <w:sz w:val="22"/>
          <w:szCs w:val="22"/>
        </w:rPr>
      </w:pPr>
      <w:r>
        <w:rPr>
          <w:rFonts w:ascii="Calibri" w:hAnsi="Calibri" w:cs="Calibri"/>
          <w:noProof/>
          <w:sz w:val="22"/>
          <w:szCs w:val="22"/>
        </w:rPr>
        <w:lastRenderedPageBreak/>
        <w:drawing>
          <wp:anchor distT="0" distB="0" distL="114300" distR="114300" simplePos="0" relativeHeight="251661312" behindDoc="0" locked="0" layoutInCell="1" allowOverlap="1">
            <wp:simplePos x="0" y="0"/>
            <wp:positionH relativeFrom="column">
              <wp:posOffset>4169410</wp:posOffset>
            </wp:positionH>
            <wp:positionV relativeFrom="paragraph">
              <wp:posOffset>61595</wp:posOffset>
            </wp:positionV>
            <wp:extent cx="2571750" cy="2690495"/>
            <wp:effectExtent l="0" t="0" r="0" b="0"/>
            <wp:wrapSquare wrapText="bothSides"/>
            <wp:docPr id="18" name="Billede 18" descr="Agonist &#10;Affinity &#10;modulation &#10;Efficacy &#10;modulation &#10;Response &#10;Allosteric &#10;drug &#10;Agonism &#10;(orthosteric) \ &#10;Allosteric &#10;agoms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Agonist &#10;Affinity &#10;modulation &#10;Efficacy &#10;modulation &#10;Response &#10;Allosteric &#10;drug &#10;Agonism &#10;(orthosteric) \ &#10;Allosteric &#10;agomsm "/>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71750" cy="269049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cs="Calibri"/>
          <w:b/>
          <w:bCs/>
          <w:sz w:val="22"/>
          <w:szCs w:val="22"/>
        </w:rPr>
        <w:t>Allosterisk modulering</w:t>
      </w:r>
      <w:r w:rsidR="005146A0">
        <w:rPr>
          <w:rFonts w:ascii="Calibri" w:hAnsi="Calibri" w:cs="Calibri"/>
          <w:b/>
          <w:bCs/>
          <w:sz w:val="22"/>
          <w:szCs w:val="22"/>
        </w:rPr>
        <w:t xml:space="preserve"> (herunder non-kompetitiv antagonisme)</w:t>
      </w:r>
      <w:r>
        <w:rPr>
          <w:rFonts w:ascii="Calibri" w:hAnsi="Calibri" w:cs="Calibri"/>
          <w:b/>
          <w:bCs/>
          <w:sz w:val="22"/>
          <w:szCs w:val="22"/>
        </w:rPr>
        <w:br/>
      </w:r>
      <w:r>
        <w:rPr>
          <w:rFonts w:ascii="Calibri" w:hAnsi="Calibri" w:cs="Calibri"/>
          <w:sz w:val="22"/>
          <w:szCs w:val="22"/>
        </w:rPr>
        <w:t xml:space="preserve">Agonister og kompetitive antagonister binder sig begge til såkaldte </w:t>
      </w:r>
      <w:r>
        <w:rPr>
          <w:rFonts w:ascii="Calibri" w:hAnsi="Calibri" w:cs="Calibri"/>
          <w:i/>
          <w:iCs/>
          <w:sz w:val="22"/>
          <w:szCs w:val="22"/>
        </w:rPr>
        <w:t>ortosteriske</w:t>
      </w:r>
      <w:r>
        <w:rPr>
          <w:rFonts w:ascii="Calibri" w:hAnsi="Calibri" w:cs="Calibri"/>
          <w:sz w:val="22"/>
          <w:szCs w:val="22"/>
        </w:rPr>
        <w:t xml:space="preserve"> binding sites - dvs. </w:t>
      </w:r>
      <w:r>
        <w:rPr>
          <w:rFonts w:ascii="Calibri" w:hAnsi="Calibri" w:cs="Calibri"/>
          <w:i/>
          <w:iCs/>
          <w:sz w:val="22"/>
          <w:szCs w:val="22"/>
        </w:rPr>
        <w:t>primære</w:t>
      </w:r>
      <w:r>
        <w:rPr>
          <w:rFonts w:ascii="Calibri" w:hAnsi="Calibri" w:cs="Calibri"/>
          <w:sz w:val="22"/>
          <w:szCs w:val="22"/>
        </w:rPr>
        <w:t xml:space="preserve"> binding sites. Receptorproteiner besidder dog sideløbende andre binding sites, såkaldte </w:t>
      </w:r>
      <w:r>
        <w:rPr>
          <w:rFonts w:ascii="Calibri" w:hAnsi="Calibri" w:cs="Calibri"/>
          <w:i/>
          <w:iCs/>
          <w:sz w:val="22"/>
          <w:szCs w:val="22"/>
        </w:rPr>
        <w:t xml:space="preserve">allosteriske </w:t>
      </w:r>
      <w:r>
        <w:rPr>
          <w:rFonts w:ascii="Calibri" w:hAnsi="Calibri" w:cs="Calibri"/>
          <w:sz w:val="22"/>
          <w:szCs w:val="22"/>
        </w:rPr>
        <w:t xml:space="preserve">binding sites, gennem hvilke medikamenter og andre molekyler kan modulere eller justere receptorens funktion. </w:t>
      </w:r>
      <w:r>
        <w:rPr>
          <w:rFonts w:ascii="Calibri" w:hAnsi="Calibri" w:cs="Calibri"/>
          <w:sz w:val="22"/>
          <w:szCs w:val="22"/>
        </w:rPr>
        <w:br/>
      </w:r>
      <w:r>
        <w:rPr>
          <w:rFonts w:ascii="Calibri" w:hAnsi="Calibri" w:cs="Calibri"/>
          <w:sz w:val="22"/>
          <w:szCs w:val="22"/>
        </w:rPr>
        <w:br/>
      </w:r>
      <w:r>
        <w:rPr>
          <w:rFonts w:ascii="Calibri" w:hAnsi="Calibri" w:cs="Calibri"/>
          <w:i/>
          <w:iCs/>
          <w:sz w:val="22"/>
          <w:szCs w:val="22"/>
        </w:rPr>
        <w:t>Allosteriske</w:t>
      </w:r>
      <w:r>
        <w:rPr>
          <w:rFonts w:ascii="Calibri" w:hAnsi="Calibri" w:cs="Calibri"/>
          <w:sz w:val="22"/>
          <w:szCs w:val="22"/>
        </w:rPr>
        <w:t xml:space="preserve"> binding sites, hvortil en ligand binder sig, kan eksempelvis</w:t>
      </w:r>
      <w:r w:rsidR="00CE134D">
        <w:rPr>
          <w:rFonts w:ascii="Calibri" w:hAnsi="Calibri" w:cs="Calibri"/>
          <w:sz w:val="22"/>
          <w:szCs w:val="22"/>
        </w:rPr>
        <w:t xml:space="preserve"> inducere</w:t>
      </w:r>
      <w:r>
        <w:rPr>
          <w:rFonts w:ascii="Calibri" w:hAnsi="Calibri" w:cs="Calibri"/>
          <w:sz w:val="22"/>
          <w:szCs w:val="22"/>
        </w:rPr>
        <w:t>:</w:t>
      </w:r>
    </w:p>
    <w:p w:rsidR="001B500B" w:rsidRDefault="001B500B" w:rsidP="001B500B">
      <w:pPr>
        <w:pStyle w:val="NormalWeb"/>
        <w:spacing w:before="0" w:beforeAutospacing="0" w:after="0" w:afterAutospacing="0"/>
        <w:rPr>
          <w:rFonts w:ascii="Calibri" w:hAnsi="Calibri" w:cs="Calibri"/>
          <w:sz w:val="22"/>
          <w:szCs w:val="22"/>
        </w:rPr>
      </w:pPr>
    </w:p>
    <w:p w:rsidR="001B500B" w:rsidRDefault="00CE134D" w:rsidP="001B500B">
      <w:pPr>
        <w:pStyle w:val="NormalWeb"/>
        <w:numPr>
          <w:ilvl w:val="0"/>
          <w:numId w:val="9"/>
        </w:numPr>
        <w:spacing w:before="0" w:beforeAutospacing="0" w:after="0" w:afterAutospacing="0"/>
        <w:rPr>
          <w:rFonts w:ascii="Calibri" w:hAnsi="Calibri" w:cs="Calibri"/>
          <w:sz w:val="22"/>
          <w:szCs w:val="22"/>
        </w:rPr>
      </w:pPr>
      <w:r>
        <w:rPr>
          <w:rFonts w:ascii="Calibri" w:hAnsi="Calibri" w:cs="Calibri"/>
          <w:sz w:val="22"/>
          <w:szCs w:val="22"/>
          <w:u w:val="single"/>
        </w:rPr>
        <w:t>Affinitetsmodulering</w:t>
      </w:r>
      <w:r w:rsidR="0036297C">
        <w:rPr>
          <w:rFonts w:ascii="Calibri" w:hAnsi="Calibri" w:cs="Calibri"/>
          <w:sz w:val="22"/>
          <w:szCs w:val="22"/>
          <w:u w:val="single"/>
        </w:rPr>
        <w:t xml:space="preserve"> (potensmodulering)</w:t>
      </w:r>
      <w:r>
        <w:rPr>
          <w:rFonts w:ascii="Calibri" w:hAnsi="Calibri" w:cs="Calibri"/>
          <w:sz w:val="22"/>
          <w:szCs w:val="22"/>
          <w:u w:val="single"/>
        </w:rPr>
        <w:br/>
      </w:r>
      <w:r>
        <w:rPr>
          <w:rFonts w:ascii="Calibri" w:hAnsi="Calibri" w:cs="Calibri"/>
          <w:sz w:val="22"/>
          <w:szCs w:val="22"/>
        </w:rPr>
        <w:t>Dvs. i</w:t>
      </w:r>
      <w:r w:rsidR="001B500B" w:rsidRPr="001B500B">
        <w:rPr>
          <w:rFonts w:ascii="Calibri" w:hAnsi="Calibri" w:cs="Calibri"/>
          <w:sz w:val="22"/>
          <w:szCs w:val="22"/>
        </w:rPr>
        <w:t xml:space="preserve">ndirekte ændre konformationen af de </w:t>
      </w:r>
      <w:r w:rsidR="001B500B" w:rsidRPr="001B500B">
        <w:rPr>
          <w:rFonts w:ascii="Calibri" w:hAnsi="Calibri" w:cs="Calibri"/>
          <w:i/>
          <w:iCs/>
          <w:sz w:val="22"/>
          <w:szCs w:val="22"/>
        </w:rPr>
        <w:t>ortosteriske</w:t>
      </w:r>
      <w:r w:rsidR="001B500B" w:rsidRPr="001B500B">
        <w:rPr>
          <w:rFonts w:ascii="Calibri" w:hAnsi="Calibri" w:cs="Calibri"/>
          <w:sz w:val="22"/>
          <w:szCs w:val="22"/>
        </w:rPr>
        <w:t xml:space="preserve"> sites, således agonistbinding øges, nedsættes eller totalt hæmmes</w:t>
      </w:r>
      <w:r w:rsidR="001B500B">
        <w:rPr>
          <w:rFonts w:ascii="Calibri" w:hAnsi="Calibri" w:cs="Calibri"/>
          <w:sz w:val="22"/>
          <w:szCs w:val="22"/>
        </w:rPr>
        <w:br/>
      </w:r>
    </w:p>
    <w:p w:rsidR="001B500B" w:rsidRDefault="00CE134D" w:rsidP="001B500B">
      <w:pPr>
        <w:pStyle w:val="NormalWeb"/>
        <w:numPr>
          <w:ilvl w:val="0"/>
          <w:numId w:val="9"/>
        </w:numPr>
        <w:spacing w:before="0" w:beforeAutospacing="0" w:after="0" w:afterAutospacing="0"/>
        <w:rPr>
          <w:rFonts w:ascii="Calibri" w:hAnsi="Calibri" w:cs="Calibri"/>
          <w:sz w:val="22"/>
          <w:szCs w:val="22"/>
        </w:rPr>
      </w:pPr>
      <w:r>
        <w:rPr>
          <w:rFonts w:ascii="Calibri" w:hAnsi="Calibri" w:cs="Calibri"/>
          <w:sz w:val="22"/>
          <w:szCs w:val="22"/>
          <w:u w:val="single"/>
        </w:rPr>
        <w:t>Efficacymodulering</w:t>
      </w:r>
      <w:r>
        <w:rPr>
          <w:rFonts w:ascii="Calibri" w:hAnsi="Calibri" w:cs="Calibri"/>
          <w:sz w:val="22"/>
          <w:szCs w:val="22"/>
        </w:rPr>
        <w:br/>
        <w:t>Dvs. æ</w:t>
      </w:r>
      <w:r w:rsidR="001B500B" w:rsidRPr="001B500B">
        <w:rPr>
          <w:rFonts w:ascii="Calibri" w:hAnsi="Calibri" w:cs="Calibri"/>
          <w:sz w:val="22"/>
          <w:szCs w:val="22"/>
        </w:rPr>
        <w:t xml:space="preserve">ndre agonistens efficacy (dvs. styrken af agonistens cellerespons) ved eksempelvis at påvirke den intracellulære pathway, som agonisten har bias for at igangsætte.  </w:t>
      </w:r>
      <w:r w:rsidR="001B500B">
        <w:rPr>
          <w:rFonts w:ascii="Calibri" w:hAnsi="Calibri" w:cs="Calibri"/>
          <w:sz w:val="22"/>
          <w:szCs w:val="22"/>
        </w:rPr>
        <w:br/>
      </w:r>
    </w:p>
    <w:p w:rsidR="001B500B" w:rsidRDefault="00CE134D" w:rsidP="001B500B">
      <w:pPr>
        <w:pStyle w:val="NormalWeb"/>
        <w:numPr>
          <w:ilvl w:val="0"/>
          <w:numId w:val="9"/>
        </w:numPr>
        <w:spacing w:before="0" w:beforeAutospacing="0" w:after="0" w:afterAutospacing="0"/>
        <w:rPr>
          <w:rFonts w:ascii="Calibri" w:hAnsi="Calibri" w:cs="Calibri"/>
          <w:sz w:val="22"/>
          <w:szCs w:val="22"/>
        </w:rPr>
      </w:pPr>
      <w:r>
        <w:rPr>
          <w:rFonts w:ascii="Calibri" w:hAnsi="Calibri" w:cs="Calibri"/>
          <w:sz w:val="22"/>
          <w:szCs w:val="22"/>
          <w:u w:val="single"/>
        </w:rPr>
        <w:t>Allosterisk agonisme</w:t>
      </w:r>
      <w:r>
        <w:rPr>
          <w:rFonts w:ascii="Calibri" w:hAnsi="Calibri" w:cs="Calibri"/>
          <w:sz w:val="22"/>
          <w:szCs w:val="22"/>
          <w:u w:val="single"/>
        </w:rPr>
        <w:br/>
      </w:r>
      <w:r>
        <w:rPr>
          <w:rFonts w:ascii="Calibri" w:hAnsi="Calibri" w:cs="Calibri"/>
          <w:sz w:val="22"/>
          <w:szCs w:val="22"/>
        </w:rPr>
        <w:t>Dvs. s</w:t>
      </w:r>
      <w:r w:rsidR="001B500B" w:rsidRPr="001B500B">
        <w:rPr>
          <w:rFonts w:ascii="Calibri" w:hAnsi="Calibri" w:cs="Calibri"/>
          <w:sz w:val="22"/>
          <w:szCs w:val="22"/>
        </w:rPr>
        <w:t>elvstændigt igangsætte en intracellulær pathway</w:t>
      </w:r>
    </w:p>
    <w:p w:rsidR="00C06333" w:rsidRDefault="001B500B" w:rsidP="00C06333">
      <w:pPr>
        <w:pStyle w:val="NormalWeb"/>
        <w:spacing w:before="0" w:beforeAutospacing="0" w:after="0" w:afterAutospacing="0"/>
        <w:rPr>
          <w:rFonts w:ascii="Calibri" w:hAnsi="Calibri" w:cs="Calibri"/>
          <w:sz w:val="22"/>
          <w:szCs w:val="22"/>
        </w:rPr>
      </w:pPr>
      <w:r w:rsidRPr="001B500B">
        <w:rPr>
          <w:rFonts w:ascii="Calibri" w:hAnsi="Calibri" w:cs="Calibri"/>
          <w:noProof/>
          <w:sz w:val="18"/>
          <w:szCs w:val="20"/>
        </w:rPr>
        <mc:AlternateContent>
          <mc:Choice Requires="wps">
            <w:drawing>
              <wp:anchor distT="45720" distB="45720" distL="114300" distR="114300" simplePos="0" relativeHeight="251663360" behindDoc="0" locked="0" layoutInCell="1" allowOverlap="1">
                <wp:simplePos x="0" y="0"/>
                <wp:positionH relativeFrom="column">
                  <wp:posOffset>4232910</wp:posOffset>
                </wp:positionH>
                <wp:positionV relativeFrom="paragraph">
                  <wp:posOffset>5715</wp:posOffset>
                </wp:positionV>
                <wp:extent cx="2360930" cy="1739900"/>
                <wp:effectExtent l="57150" t="38100" r="66675" b="69850"/>
                <wp:wrapSquare wrapText="bothSides"/>
                <wp:docPr id="19"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739900"/>
                        </a:xfrm>
                        <a:prstGeom prst="rect">
                          <a:avLst/>
                        </a:prstGeom>
                        <a:ln>
                          <a:headEnd/>
                          <a:tailEnd/>
                        </a:ln>
                      </wps:spPr>
                      <wps:style>
                        <a:lnRef idx="0">
                          <a:schemeClr val="accent6"/>
                        </a:lnRef>
                        <a:fillRef idx="3">
                          <a:schemeClr val="accent6"/>
                        </a:fillRef>
                        <a:effectRef idx="3">
                          <a:schemeClr val="accent6"/>
                        </a:effectRef>
                        <a:fontRef idx="minor">
                          <a:schemeClr val="lt1"/>
                        </a:fontRef>
                      </wps:style>
                      <wps:txbx>
                        <w:txbxContent>
                          <w:p w:rsidR="001B500B" w:rsidRPr="001B500B" w:rsidRDefault="001B500B" w:rsidP="001B500B">
                            <w:pPr>
                              <w:pStyle w:val="NormalWeb"/>
                              <w:spacing w:before="0" w:beforeAutospacing="0" w:after="0" w:afterAutospacing="0"/>
                              <w:rPr>
                                <w:rFonts w:ascii="Calibri" w:hAnsi="Calibri" w:cs="Calibri"/>
                                <w:sz w:val="18"/>
                                <w:szCs w:val="20"/>
                              </w:rPr>
                            </w:pPr>
                            <w:r>
                              <w:rPr>
                                <w:rFonts w:ascii="Calibri" w:hAnsi="Calibri" w:cs="Calibri"/>
                                <w:sz w:val="18"/>
                                <w:szCs w:val="20"/>
                              </w:rPr>
                              <w:t>P</w:t>
                            </w:r>
                            <w:r w:rsidRPr="001B500B">
                              <w:rPr>
                                <w:rFonts w:ascii="Calibri" w:hAnsi="Calibri" w:cs="Calibri"/>
                                <w:sz w:val="18"/>
                                <w:szCs w:val="20"/>
                              </w:rPr>
                              <w:t>å figuren ses de tre funktioner en mulig allosterisk ligand kan udføre</w:t>
                            </w:r>
                            <w:r>
                              <w:rPr>
                                <w:rFonts w:ascii="Calibri" w:hAnsi="Calibri" w:cs="Calibri"/>
                                <w:sz w:val="18"/>
                                <w:szCs w:val="20"/>
                              </w:rPr>
                              <w:t>:</w:t>
                            </w:r>
                            <w:r w:rsidRPr="001B500B">
                              <w:rPr>
                                <w:rFonts w:ascii="Calibri" w:hAnsi="Calibri" w:cs="Calibri"/>
                                <w:sz w:val="18"/>
                                <w:szCs w:val="20"/>
                              </w:rPr>
                              <w:br/>
                            </w:r>
                            <w:r w:rsidRPr="001B500B">
                              <w:rPr>
                                <w:rFonts w:ascii="Calibri" w:hAnsi="Calibri" w:cs="Calibri"/>
                                <w:b/>
                                <w:sz w:val="18"/>
                                <w:szCs w:val="20"/>
                              </w:rPr>
                              <w:t>a) affinitetsmodulering</w:t>
                            </w:r>
                            <w:r>
                              <w:rPr>
                                <w:rFonts w:ascii="Calibri" w:hAnsi="Calibri" w:cs="Calibri"/>
                                <w:sz w:val="18"/>
                                <w:szCs w:val="20"/>
                              </w:rPr>
                              <w:br/>
                            </w:r>
                            <w:r w:rsidRPr="001B500B">
                              <w:rPr>
                                <w:rFonts w:ascii="Calibri" w:hAnsi="Calibri" w:cs="Calibri"/>
                                <w:sz w:val="18"/>
                                <w:szCs w:val="20"/>
                              </w:rPr>
                              <w:t>dvs. en konformationsændring af det ortosteriske site</w:t>
                            </w:r>
                            <w:r w:rsidRPr="001B500B">
                              <w:rPr>
                                <w:rFonts w:ascii="Calibri" w:hAnsi="Calibri" w:cs="Calibri"/>
                                <w:sz w:val="18"/>
                                <w:szCs w:val="20"/>
                              </w:rPr>
                              <w:br/>
                            </w:r>
                            <w:r w:rsidRPr="001B500B">
                              <w:rPr>
                                <w:rFonts w:ascii="Calibri" w:hAnsi="Calibri" w:cs="Calibri"/>
                                <w:b/>
                                <w:sz w:val="18"/>
                                <w:szCs w:val="20"/>
                              </w:rPr>
                              <w:t>b) efficacymodulering</w:t>
                            </w:r>
                            <w:r>
                              <w:rPr>
                                <w:rFonts w:ascii="Calibri" w:hAnsi="Calibri" w:cs="Calibri"/>
                                <w:sz w:val="18"/>
                                <w:szCs w:val="20"/>
                              </w:rPr>
                              <w:br/>
                            </w:r>
                            <w:r w:rsidRPr="001B500B">
                              <w:rPr>
                                <w:rFonts w:ascii="Calibri" w:hAnsi="Calibri" w:cs="Calibri"/>
                                <w:sz w:val="18"/>
                                <w:szCs w:val="20"/>
                              </w:rPr>
                              <w:t>dvs. en styrkepåvirkning</w:t>
                            </w:r>
                            <w:r>
                              <w:rPr>
                                <w:rFonts w:ascii="Calibri" w:hAnsi="Calibri" w:cs="Calibri"/>
                                <w:sz w:val="18"/>
                                <w:szCs w:val="20"/>
                              </w:rPr>
                              <w:t xml:space="preserve"> (negativ som positiv)</w:t>
                            </w:r>
                            <w:r w:rsidRPr="001B500B">
                              <w:rPr>
                                <w:rFonts w:ascii="Calibri" w:hAnsi="Calibri" w:cs="Calibri"/>
                                <w:sz w:val="18"/>
                                <w:szCs w:val="20"/>
                              </w:rPr>
                              <w:t xml:space="preserve"> af det cellerespons som agonisten igangsætter</w:t>
                            </w:r>
                            <w:r w:rsidRPr="001B500B">
                              <w:rPr>
                                <w:rFonts w:ascii="Calibri" w:hAnsi="Calibri" w:cs="Calibri"/>
                                <w:sz w:val="18"/>
                                <w:szCs w:val="20"/>
                              </w:rPr>
                              <w:br/>
                            </w:r>
                            <w:r w:rsidRPr="001B500B">
                              <w:rPr>
                                <w:rFonts w:ascii="Calibri" w:hAnsi="Calibri" w:cs="Calibri"/>
                                <w:b/>
                                <w:sz w:val="18"/>
                                <w:szCs w:val="20"/>
                              </w:rPr>
                              <w:t>c) allosterisk agonisme</w:t>
                            </w:r>
                            <w:r w:rsidRPr="001B500B">
                              <w:rPr>
                                <w:rFonts w:ascii="Calibri" w:hAnsi="Calibri" w:cs="Calibri"/>
                                <w:sz w:val="18"/>
                                <w:szCs w:val="20"/>
                              </w:rPr>
                              <w:t xml:space="preserve"> </w:t>
                            </w:r>
                            <w:r>
                              <w:rPr>
                                <w:rFonts w:ascii="Calibri" w:hAnsi="Calibri" w:cs="Calibri"/>
                                <w:sz w:val="18"/>
                                <w:szCs w:val="20"/>
                              </w:rPr>
                              <w:br/>
                            </w:r>
                            <w:r w:rsidRPr="001B500B">
                              <w:rPr>
                                <w:rFonts w:ascii="Calibri" w:hAnsi="Calibri" w:cs="Calibri"/>
                                <w:sz w:val="18"/>
                                <w:szCs w:val="20"/>
                              </w:rPr>
                              <w:t xml:space="preserve">dvs. selvstændigt igangsætte en intracellulær pathway </w:t>
                            </w:r>
                          </w:p>
                          <w:p w:rsidR="001B500B" w:rsidRDefault="001B500B"/>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id="_x0000_s1027" type="#_x0000_t202" style="position:absolute;margin-left:333.3pt;margin-top:.45pt;width:185.9pt;height:137pt;z-index:251663360;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nCZSAIAAMkEAAAOAAAAZHJzL2Uyb0RvYy54bWysVNuO0zAQfUfiHyy/0/RGl0ZNV0sXENJy&#10;Ebt8gOuMm2gdT7DdJt2vZ2y3oeLyAOLFsj0zx2fmzHh13TeaHcC6Gk3BJ6MxZ2AklrXZFfzrw9sX&#10;rzhzXphSaDRQ8CM4fr1+/mzVtTlMsUJdgmUEYlzetQWvvG/zLHOygka4EbZgyKjQNsLT0e6y0oqO&#10;0BudTcfjRdahLVuLEpyj29tk5OuIrxRI/0kpB57pghM3H1cb121Ys/VK5Dsr2qqWJxriH1g0ojb0&#10;6AB1K7xge1v/AtXU0qJD5UcSmwyVqiXEHCibyfinbO4r0ULMhYrj2qFM7v/Byo+Hz5bVJWm35MyI&#10;hjR6gEfnFWjPpqE+XetycrtvydH3r7En35ira+9QPjpmcFMJs4Mba7GrQJTEbxIis4vQhOMCyLb7&#10;gCW9I/YeI1CvbBOKR+VghE46HQdtoPdM0uV0thgvZ2SSZJtczZbLcVQvE/k5vLXOvwNsWNgU3JL4&#10;EV4c7pwPdER+dgmvaRPWwPeNKWMfeFHrtCfXYI4JBM4n9v6oIYV+AUVVi2TDRexX2GjLDoI6TUgJ&#10;xi9iDQISeQcvVWs9BM5SDUOj/ynw5B9CIfby3wQPEfFlNH4IbmqD9neva59kI6bJ/1yBlHdQ0/fb&#10;PrXLuTW2WB5JVItptugvoE2F9omzjuaq4O7bXljgTL831BjLyXweBjEe5i+vpnSwl5btpUUYSVAF&#10;95yl7cbH4Q05GbyhBlJ1lDZwS0xOnGleouKn2Q4DeXmOXj9+oPV3AAAA//8DAFBLAwQUAAYACAAA&#10;ACEAR3FYmeEAAAAJAQAADwAAAGRycy9kb3ducmV2LnhtbEyPQUvDQBCF74L/YRnBi7Qba4lJzKRo&#10;QUTQg2lBvW2z0ySYnY3ZbRr/vduTvtvwHu99k68m04mRBtdaRrieRyCIK6tbrhG2m8dZAsJ5xVp1&#10;lgnhhxysivOzXGXaHvmNxtLXIpSwyxRC432fSemqhoxyc9sTB29vB6N8OIda6kEdQ7np5CKKYmlU&#10;y2GhUT2tG6q+yoNB2H+/NvH4HD/16dV68/BZuo+X9wTx8mK6vwPhafJ/YTjhB3QoAtPOHlg70SHE&#10;QSGKkII42dFNsgSxQ1jcLlOQRS7/f1D8AgAA//8DAFBLAQItABQABgAIAAAAIQC2gziS/gAAAOEB&#10;AAATAAAAAAAAAAAAAAAAAAAAAABbQ29udGVudF9UeXBlc10ueG1sUEsBAi0AFAAGAAgAAAAhADj9&#10;If/WAAAAlAEAAAsAAAAAAAAAAAAAAAAALwEAAF9yZWxzLy5yZWxzUEsBAi0AFAAGAAgAAAAhANUK&#10;cJlIAgAAyQQAAA4AAAAAAAAAAAAAAAAALgIAAGRycy9lMm9Eb2MueG1sUEsBAi0AFAAGAAgAAAAh&#10;AEdxWJnhAAAACQEAAA8AAAAAAAAAAAAAAAAAogQAAGRycy9kb3ducmV2LnhtbFBLBQYAAAAABAAE&#10;APMAAACwBQAAAAA=&#10;" fillcolor="#77b64e [3033]" stroked="f">
                <v:fill color2="#6eaa46 [3177]" rotate="t" colors="0 #81b861;.5 #6fb242;1 #61a235" focus="100%" type="gradient">
                  <o:fill v:ext="view" type="gradientUnscaled"/>
                </v:fill>
                <v:shadow on="t" color="black" opacity="41287f" offset="0,1.5pt"/>
                <v:textbox>
                  <w:txbxContent>
                    <w:p w:rsidR="001B500B" w:rsidRPr="001B500B" w:rsidRDefault="001B500B" w:rsidP="001B500B">
                      <w:pPr>
                        <w:pStyle w:val="NormalWeb"/>
                        <w:spacing w:before="0" w:beforeAutospacing="0" w:after="0" w:afterAutospacing="0"/>
                        <w:rPr>
                          <w:rFonts w:ascii="Calibri" w:hAnsi="Calibri" w:cs="Calibri"/>
                          <w:sz w:val="18"/>
                          <w:szCs w:val="20"/>
                        </w:rPr>
                      </w:pPr>
                      <w:r>
                        <w:rPr>
                          <w:rFonts w:ascii="Calibri" w:hAnsi="Calibri" w:cs="Calibri"/>
                          <w:sz w:val="18"/>
                          <w:szCs w:val="20"/>
                        </w:rPr>
                        <w:t>P</w:t>
                      </w:r>
                      <w:r w:rsidRPr="001B500B">
                        <w:rPr>
                          <w:rFonts w:ascii="Calibri" w:hAnsi="Calibri" w:cs="Calibri"/>
                          <w:sz w:val="18"/>
                          <w:szCs w:val="20"/>
                        </w:rPr>
                        <w:t>å figuren ses de tre funktioner en mulig allosterisk ligand kan udføre</w:t>
                      </w:r>
                      <w:r>
                        <w:rPr>
                          <w:rFonts w:ascii="Calibri" w:hAnsi="Calibri" w:cs="Calibri"/>
                          <w:sz w:val="18"/>
                          <w:szCs w:val="20"/>
                        </w:rPr>
                        <w:t>:</w:t>
                      </w:r>
                      <w:r w:rsidRPr="001B500B">
                        <w:rPr>
                          <w:rFonts w:ascii="Calibri" w:hAnsi="Calibri" w:cs="Calibri"/>
                          <w:sz w:val="18"/>
                          <w:szCs w:val="20"/>
                        </w:rPr>
                        <w:br/>
                      </w:r>
                      <w:r w:rsidRPr="001B500B">
                        <w:rPr>
                          <w:rFonts w:ascii="Calibri" w:hAnsi="Calibri" w:cs="Calibri"/>
                          <w:b/>
                          <w:sz w:val="18"/>
                          <w:szCs w:val="20"/>
                        </w:rPr>
                        <w:t>a) affinitetsmodulering</w:t>
                      </w:r>
                      <w:r>
                        <w:rPr>
                          <w:rFonts w:ascii="Calibri" w:hAnsi="Calibri" w:cs="Calibri"/>
                          <w:sz w:val="18"/>
                          <w:szCs w:val="20"/>
                        </w:rPr>
                        <w:br/>
                      </w:r>
                      <w:r w:rsidRPr="001B500B">
                        <w:rPr>
                          <w:rFonts w:ascii="Calibri" w:hAnsi="Calibri" w:cs="Calibri"/>
                          <w:sz w:val="18"/>
                          <w:szCs w:val="20"/>
                        </w:rPr>
                        <w:t>dvs. en konformationsændring af det ortosteriske site</w:t>
                      </w:r>
                      <w:r w:rsidRPr="001B500B">
                        <w:rPr>
                          <w:rFonts w:ascii="Calibri" w:hAnsi="Calibri" w:cs="Calibri"/>
                          <w:sz w:val="18"/>
                          <w:szCs w:val="20"/>
                        </w:rPr>
                        <w:br/>
                      </w:r>
                      <w:r w:rsidRPr="001B500B">
                        <w:rPr>
                          <w:rFonts w:ascii="Calibri" w:hAnsi="Calibri" w:cs="Calibri"/>
                          <w:b/>
                          <w:sz w:val="18"/>
                          <w:szCs w:val="20"/>
                        </w:rPr>
                        <w:t>b) efficacymodulering</w:t>
                      </w:r>
                      <w:r>
                        <w:rPr>
                          <w:rFonts w:ascii="Calibri" w:hAnsi="Calibri" w:cs="Calibri"/>
                          <w:sz w:val="18"/>
                          <w:szCs w:val="20"/>
                        </w:rPr>
                        <w:br/>
                      </w:r>
                      <w:r w:rsidRPr="001B500B">
                        <w:rPr>
                          <w:rFonts w:ascii="Calibri" w:hAnsi="Calibri" w:cs="Calibri"/>
                          <w:sz w:val="18"/>
                          <w:szCs w:val="20"/>
                        </w:rPr>
                        <w:t>dvs. en styrkepåvirkning</w:t>
                      </w:r>
                      <w:r>
                        <w:rPr>
                          <w:rFonts w:ascii="Calibri" w:hAnsi="Calibri" w:cs="Calibri"/>
                          <w:sz w:val="18"/>
                          <w:szCs w:val="20"/>
                        </w:rPr>
                        <w:t xml:space="preserve"> (negativ som positiv)</w:t>
                      </w:r>
                      <w:r w:rsidRPr="001B500B">
                        <w:rPr>
                          <w:rFonts w:ascii="Calibri" w:hAnsi="Calibri" w:cs="Calibri"/>
                          <w:sz w:val="18"/>
                          <w:szCs w:val="20"/>
                        </w:rPr>
                        <w:t xml:space="preserve"> af det cellerespons som agonisten igangsætter</w:t>
                      </w:r>
                      <w:r w:rsidRPr="001B500B">
                        <w:rPr>
                          <w:rFonts w:ascii="Calibri" w:hAnsi="Calibri" w:cs="Calibri"/>
                          <w:sz w:val="18"/>
                          <w:szCs w:val="20"/>
                        </w:rPr>
                        <w:br/>
                      </w:r>
                      <w:r w:rsidRPr="001B500B">
                        <w:rPr>
                          <w:rFonts w:ascii="Calibri" w:hAnsi="Calibri" w:cs="Calibri"/>
                          <w:b/>
                          <w:sz w:val="18"/>
                          <w:szCs w:val="20"/>
                        </w:rPr>
                        <w:t>c) allosterisk agonisme</w:t>
                      </w:r>
                      <w:r w:rsidRPr="001B500B">
                        <w:rPr>
                          <w:rFonts w:ascii="Calibri" w:hAnsi="Calibri" w:cs="Calibri"/>
                          <w:sz w:val="18"/>
                          <w:szCs w:val="20"/>
                        </w:rPr>
                        <w:t xml:space="preserve"> </w:t>
                      </w:r>
                      <w:r>
                        <w:rPr>
                          <w:rFonts w:ascii="Calibri" w:hAnsi="Calibri" w:cs="Calibri"/>
                          <w:sz w:val="18"/>
                          <w:szCs w:val="20"/>
                        </w:rPr>
                        <w:br/>
                      </w:r>
                      <w:r w:rsidRPr="001B500B">
                        <w:rPr>
                          <w:rFonts w:ascii="Calibri" w:hAnsi="Calibri" w:cs="Calibri"/>
                          <w:sz w:val="18"/>
                          <w:szCs w:val="20"/>
                        </w:rPr>
                        <w:t xml:space="preserve">dvs. selvstændigt igangsætte en intracellulær pathway </w:t>
                      </w:r>
                    </w:p>
                    <w:p w:rsidR="001B500B" w:rsidRDefault="001B500B"/>
                  </w:txbxContent>
                </v:textbox>
                <w10:wrap type="square"/>
              </v:shape>
            </w:pict>
          </mc:Fallback>
        </mc:AlternateContent>
      </w:r>
      <w:r>
        <w:rPr>
          <w:rFonts w:ascii="Calibri" w:hAnsi="Calibri" w:cs="Calibri"/>
          <w:sz w:val="22"/>
          <w:szCs w:val="22"/>
        </w:rPr>
        <w:br/>
      </w:r>
      <w:r w:rsidRPr="001B500B">
        <w:rPr>
          <w:rFonts w:ascii="Calibri" w:hAnsi="Calibri" w:cs="Calibri"/>
          <w:sz w:val="22"/>
          <w:szCs w:val="22"/>
        </w:rPr>
        <w:t>Allosteriske ligander kan være enten allosteriske antagonister (modvirker agonistens virkning) eller allosteriske facilitatorer (øger agonistens virkning). Allosterisk</w:t>
      </w:r>
      <w:r>
        <w:rPr>
          <w:rFonts w:ascii="Calibri" w:hAnsi="Calibri" w:cs="Calibri"/>
          <w:sz w:val="22"/>
          <w:szCs w:val="22"/>
        </w:rPr>
        <w:t xml:space="preserve">e </w:t>
      </w:r>
      <w:r w:rsidRPr="0036297C">
        <w:rPr>
          <w:rFonts w:ascii="Calibri" w:hAnsi="Calibri" w:cs="Calibri"/>
          <w:i/>
          <w:sz w:val="22"/>
          <w:szCs w:val="22"/>
        </w:rPr>
        <w:t>antagonister</w:t>
      </w:r>
      <w:r w:rsidRPr="001B500B">
        <w:rPr>
          <w:rFonts w:ascii="Calibri" w:hAnsi="Calibri" w:cs="Calibri"/>
          <w:sz w:val="22"/>
          <w:szCs w:val="22"/>
        </w:rPr>
        <w:t xml:space="preserve"> benævnes i øvrigt non-kompetitive antagonister i modsætning til kompetitive antagonister, som vi stiftede bekendtskab til tidligere.  </w:t>
      </w:r>
      <w:r w:rsidRPr="001B500B">
        <w:rPr>
          <w:rFonts w:ascii="Calibri" w:hAnsi="Calibri" w:cs="Calibri"/>
          <w:sz w:val="22"/>
          <w:szCs w:val="22"/>
        </w:rPr>
        <w:br/>
      </w:r>
      <w:r w:rsidRPr="001B500B">
        <w:rPr>
          <w:rFonts w:ascii="Calibri" w:hAnsi="Calibri" w:cs="Calibri"/>
          <w:sz w:val="22"/>
          <w:szCs w:val="22"/>
        </w:rPr>
        <w:br/>
        <w:t xml:space="preserve">Allosteriske ligander </w:t>
      </w:r>
      <w:r w:rsidR="0036297C">
        <w:rPr>
          <w:rFonts w:ascii="Calibri" w:hAnsi="Calibri" w:cs="Calibri"/>
          <w:sz w:val="22"/>
          <w:szCs w:val="22"/>
        </w:rPr>
        <w:t xml:space="preserve">(antagonister eller facilitatorer) </w:t>
      </w:r>
      <w:r w:rsidRPr="001B500B">
        <w:rPr>
          <w:rFonts w:ascii="Calibri" w:hAnsi="Calibri" w:cs="Calibri"/>
          <w:sz w:val="22"/>
          <w:szCs w:val="22"/>
        </w:rPr>
        <w:t>har således evnen til at hæve eller sænke E</w:t>
      </w:r>
      <w:r w:rsidRPr="001B500B">
        <w:rPr>
          <w:rFonts w:ascii="Calibri" w:hAnsi="Calibri" w:cs="Calibri"/>
          <w:sz w:val="22"/>
          <w:szCs w:val="22"/>
          <w:vertAlign w:val="subscript"/>
        </w:rPr>
        <w:t>max</w:t>
      </w:r>
      <w:r w:rsidRPr="001B500B">
        <w:rPr>
          <w:rFonts w:ascii="Calibri" w:hAnsi="Calibri" w:cs="Calibri"/>
          <w:sz w:val="22"/>
          <w:szCs w:val="22"/>
        </w:rPr>
        <w:t xml:space="preserve"> (dvs. øge eller nedsætte agonistens maksimale cellerespons) </w:t>
      </w:r>
      <w:r w:rsidR="0036297C">
        <w:rPr>
          <w:rFonts w:ascii="Calibri" w:hAnsi="Calibri" w:cs="Calibri"/>
          <w:sz w:val="22"/>
          <w:szCs w:val="22"/>
        </w:rPr>
        <w:t>og/eller</w:t>
      </w:r>
      <w:r w:rsidRPr="001B500B">
        <w:rPr>
          <w:rFonts w:ascii="Calibri" w:hAnsi="Calibri" w:cs="Calibri"/>
          <w:sz w:val="22"/>
          <w:szCs w:val="22"/>
        </w:rPr>
        <w:t xml:space="preserve"> </w:t>
      </w:r>
      <w:r w:rsidR="0036297C">
        <w:rPr>
          <w:rFonts w:ascii="Calibri" w:hAnsi="Calibri" w:cs="Calibri"/>
          <w:sz w:val="22"/>
          <w:szCs w:val="22"/>
        </w:rPr>
        <w:t>forskydningen</w:t>
      </w:r>
      <w:r w:rsidRPr="001B500B">
        <w:rPr>
          <w:rFonts w:ascii="Calibri" w:hAnsi="Calibri" w:cs="Calibri"/>
          <w:sz w:val="22"/>
          <w:szCs w:val="22"/>
        </w:rPr>
        <w:t xml:space="preserve"> </w:t>
      </w:r>
      <w:r w:rsidR="0036297C">
        <w:rPr>
          <w:rFonts w:ascii="Calibri" w:hAnsi="Calibri" w:cs="Calibri"/>
          <w:sz w:val="22"/>
          <w:szCs w:val="22"/>
        </w:rPr>
        <w:t>af</w:t>
      </w:r>
      <w:r w:rsidRPr="001B500B">
        <w:rPr>
          <w:rFonts w:ascii="Calibri" w:hAnsi="Calibri" w:cs="Calibri"/>
          <w:sz w:val="22"/>
          <w:szCs w:val="22"/>
        </w:rPr>
        <w:t xml:space="preserve"> dosis-effekt-kurven</w:t>
      </w:r>
      <w:r w:rsidR="0036297C">
        <w:rPr>
          <w:rFonts w:ascii="Calibri" w:hAnsi="Calibri" w:cs="Calibri"/>
          <w:sz w:val="22"/>
          <w:szCs w:val="22"/>
        </w:rPr>
        <w:t xml:space="preserve"> (hæve/sænke potensen som følge af affinitetsmodulering)</w:t>
      </w:r>
      <w:r w:rsidRPr="001B500B">
        <w:rPr>
          <w:rFonts w:ascii="Calibri" w:hAnsi="Calibri" w:cs="Calibri"/>
          <w:sz w:val="22"/>
          <w:szCs w:val="22"/>
        </w:rPr>
        <w:t xml:space="preserve">. </w:t>
      </w:r>
      <w:r w:rsidRPr="001B500B">
        <w:rPr>
          <w:rFonts w:ascii="Calibri" w:hAnsi="Calibri" w:cs="Calibri"/>
          <w:sz w:val="22"/>
          <w:szCs w:val="22"/>
        </w:rPr>
        <w:br/>
      </w:r>
      <w:r w:rsidRPr="001B500B">
        <w:rPr>
          <w:rFonts w:ascii="Calibri" w:hAnsi="Calibri" w:cs="Calibri"/>
          <w:sz w:val="22"/>
          <w:szCs w:val="22"/>
        </w:rPr>
        <w:br/>
      </w:r>
      <w:r w:rsidR="00C06333">
        <w:rPr>
          <w:rFonts w:ascii="Calibri" w:hAnsi="Calibri" w:cs="Calibri"/>
          <w:sz w:val="22"/>
          <w:szCs w:val="22"/>
          <w:u w:val="single"/>
        </w:rPr>
        <w:t>Affinitetsmodulering</w:t>
      </w:r>
      <w:r w:rsidR="0036297C">
        <w:rPr>
          <w:rFonts w:ascii="Calibri" w:hAnsi="Calibri" w:cs="Calibri"/>
          <w:sz w:val="22"/>
          <w:szCs w:val="22"/>
          <w:u w:val="single"/>
        </w:rPr>
        <w:t xml:space="preserve"> (potensmodulering)</w:t>
      </w:r>
      <w:r w:rsidR="00C06333">
        <w:rPr>
          <w:rFonts w:ascii="Calibri" w:hAnsi="Calibri" w:cs="Calibri"/>
          <w:sz w:val="22"/>
          <w:szCs w:val="22"/>
          <w:u w:val="single"/>
        </w:rPr>
        <w:br/>
      </w:r>
      <w:r w:rsidR="00C06333">
        <w:rPr>
          <w:rFonts w:ascii="Calibri" w:hAnsi="Calibri" w:cs="Calibri"/>
          <w:sz w:val="22"/>
          <w:szCs w:val="22"/>
        </w:rPr>
        <w:t xml:space="preserve">Ved indirekte at påvirke konformationen af det ortosteriske site, kan den allosteriske facilitator eller antagonist hhv. øge agonistens affinitet for dets binding site eller nedsætte agonistens affinitet for dets binding site. </w:t>
      </w:r>
    </w:p>
    <w:p w:rsidR="00C06333" w:rsidRDefault="00C06333" w:rsidP="00C06333">
      <w:pPr>
        <w:pStyle w:val="NormalWeb"/>
        <w:spacing w:before="0" w:beforeAutospacing="0" w:after="0" w:afterAutospacing="0"/>
        <w:rPr>
          <w:rFonts w:ascii="Calibri" w:hAnsi="Calibri" w:cs="Calibri"/>
          <w:sz w:val="22"/>
          <w:szCs w:val="22"/>
        </w:rPr>
      </w:pPr>
      <w:r>
        <w:rPr>
          <w:rFonts w:ascii="Calibri" w:hAnsi="Calibri" w:cs="Calibri"/>
          <w:noProof/>
          <w:sz w:val="22"/>
          <w:szCs w:val="22"/>
        </w:rPr>
        <w:lastRenderedPageBreak/>
        <w:drawing>
          <wp:inline distT="0" distB="0" distL="0" distR="0">
            <wp:extent cx="3124536" cy="2540000"/>
            <wp:effectExtent l="0" t="0" r="0" b="0"/>
            <wp:docPr id="21" name="Billede 21" descr="Positive affinity modulation &#10;100 &#10;50 &#10;Log [Agonist] (mol/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Positive affinity modulation &#10;100 &#10;50 &#10;Log [Agonist] (mol/L) "/>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39841" cy="2552441"/>
                    </a:xfrm>
                    <a:prstGeom prst="rect">
                      <a:avLst/>
                    </a:prstGeom>
                    <a:noFill/>
                    <a:ln>
                      <a:noFill/>
                    </a:ln>
                  </pic:spPr>
                </pic:pic>
              </a:graphicData>
            </a:graphic>
          </wp:inline>
        </w:drawing>
      </w:r>
    </w:p>
    <w:p w:rsidR="00C06333" w:rsidRDefault="00C06333" w:rsidP="00C06333">
      <w:pPr>
        <w:pStyle w:val="NormalWeb"/>
        <w:spacing w:before="0" w:beforeAutospacing="0" w:after="0" w:afterAutospacing="0"/>
        <w:rPr>
          <w:rFonts w:ascii="Calibri" w:hAnsi="Calibri" w:cs="Calibri"/>
          <w:sz w:val="22"/>
          <w:szCs w:val="22"/>
        </w:rPr>
      </w:pPr>
      <w:r>
        <w:rPr>
          <w:rFonts w:ascii="Calibri" w:hAnsi="Calibri" w:cs="Calibri"/>
          <w:sz w:val="22"/>
          <w:szCs w:val="22"/>
        </w:rPr>
        <w:br/>
      </w:r>
      <w:r w:rsidRPr="00C06333">
        <w:rPr>
          <w:rFonts w:ascii="Calibri" w:hAnsi="Calibri" w:cs="Calibri"/>
          <w:sz w:val="18"/>
          <w:szCs w:val="20"/>
        </w:rPr>
        <w:t xml:space="preserve">Hvis agonistens affinitet for det ortosteriske site øges, sker der en venstreforskydning af dosis-effekt-kurven, idet mindre koncentrationer (doser) vil igangsætte samme respons som under vanlige omstændigheder. På grund af den </w:t>
      </w:r>
      <w:r w:rsidRPr="00C06333">
        <w:rPr>
          <w:rFonts w:ascii="Calibri" w:hAnsi="Calibri" w:cs="Calibri"/>
          <w:i/>
          <w:iCs/>
          <w:sz w:val="18"/>
          <w:szCs w:val="20"/>
        </w:rPr>
        <w:t>øgede</w:t>
      </w:r>
      <w:r w:rsidRPr="00C06333">
        <w:rPr>
          <w:rFonts w:ascii="Calibri" w:hAnsi="Calibri" w:cs="Calibri"/>
          <w:sz w:val="18"/>
          <w:szCs w:val="20"/>
        </w:rPr>
        <w:t xml:space="preserve"> affinitet skal der færre agonistmolekyler til, før "lige så mange" binder sig som normalt.</w:t>
      </w:r>
      <w:r w:rsidR="00CE134D">
        <w:rPr>
          <w:rFonts w:ascii="Calibri" w:hAnsi="Calibri" w:cs="Calibri"/>
          <w:sz w:val="18"/>
          <w:szCs w:val="20"/>
        </w:rPr>
        <w:t xml:space="preserve"> Potensen stiger altså!</w:t>
      </w:r>
      <w:r w:rsidRPr="00C06333">
        <w:rPr>
          <w:rFonts w:ascii="Calibri" w:hAnsi="Calibri" w:cs="Calibri"/>
          <w:sz w:val="18"/>
          <w:szCs w:val="20"/>
        </w:rPr>
        <w:br/>
      </w:r>
      <w:r w:rsidRPr="00C06333">
        <w:rPr>
          <w:rFonts w:ascii="Calibri" w:hAnsi="Calibri" w:cs="Calibri"/>
          <w:sz w:val="20"/>
          <w:szCs w:val="22"/>
        </w:rPr>
        <w:br/>
      </w:r>
      <w:r w:rsidRPr="00C06333">
        <w:rPr>
          <w:rFonts w:ascii="Calibri" w:hAnsi="Calibri" w:cs="Calibri"/>
          <w:sz w:val="18"/>
          <w:szCs w:val="20"/>
        </w:rPr>
        <w:t>Dosis-effekt</w:t>
      </w:r>
      <w:r w:rsidRPr="00C06333">
        <w:rPr>
          <w:rFonts w:ascii="Calibri" w:hAnsi="Calibri" w:cs="Calibri"/>
          <w:strike/>
          <w:sz w:val="18"/>
          <w:szCs w:val="20"/>
        </w:rPr>
        <w:t>-</w:t>
      </w:r>
      <w:r w:rsidRPr="00C06333">
        <w:rPr>
          <w:rFonts w:ascii="Calibri" w:hAnsi="Calibri" w:cs="Calibri"/>
          <w:sz w:val="18"/>
          <w:szCs w:val="20"/>
        </w:rPr>
        <w:t>kurven er uændret mhp. E</w:t>
      </w:r>
      <w:r w:rsidRPr="00C06333">
        <w:rPr>
          <w:rFonts w:ascii="Calibri" w:hAnsi="Calibri" w:cs="Calibri"/>
          <w:sz w:val="18"/>
          <w:szCs w:val="20"/>
          <w:vertAlign w:val="subscript"/>
        </w:rPr>
        <w:t>max</w:t>
      </w:r>
      <w:r w:rsidRPr="00C06333">
        <w:rPr>
          <w:rFonts w:ascii="Calibri" w:hAnsi="Calibri" w:cs="Calibri"/>
          <w:sz w:val="18"/>
          <w:szCs w:val="20"/>
        </w:rPr>
        <w:t xml:space="preserve"> og hældning, da affinitetsændringen ej øger agonistens </w:t>
      </w:r>
      <w:r w:rsidRPr="00C06333">
        <w:rPr>
          <w:rFonts w:ascii="Calibri" w:hAnsi="Calibri" w:cs="Calibri"/>
          <w:i/>
          <w:iCs/>
          <w:sz w:val="18"/>
          <w:szCs w:val="20"/>
        </w:rPr>
        <w:t>efficacy</w:t>
      </w:r>
      <w:r w:rsidRPr="00C06333">
        <w:rPr>
          <w:rFonts w:ascii="Calibri" w:hAnsi="Calibri" w:cs="Calibri"/>
          <w:sz w:val="18"/>
          <w:szCs w:val="20"/>
        </w:rPr>
        <w:t xml:space="preserve">, men derimod kun dens </w:t>
      </w:r>
      <w:r w:rsidRPr="00C06333">
        <w:rPr>
          <w:rFonts w:ascii="Calibri" w:hAnsi="Calibri" w:cs="Calibri"/>
          <w:i/>
          <w:iCs/>
          <w:sz w:val="18"/>
          <w:szCs w:val="20"/>
        </w:rPr>
        <w:t xml:space="preserve">potency - </w:t>
      </w:r>
      <w:r w:rsidRPr="00C06333">
        <w:rPr>
          <w:rFonts w:ascii="Calibri" w:hAnsi="Calibri" w:cs="Calibri"/>
          <w:sz w:val="18"/>
          <w:szCs w:val="20"/>
        </w:rPr>
        <w:t xml:space="preserve">dvs. evnen til at </w:t>
      </w:r>
      <w:r w:rsidRPr="00C06333">
        <w:rPr>
          <w:rFonts w:ascii="Calibri" w:hAnsi="Calibri" w:cs="Calibri"/>
          <w:i/>
          <w:iCs/>
          <w:sz w:val="18"/>
          <w:szCs w:val="20"/>
        </w:rPr>
        <w:t>igangsætte</w:t>
      </w:r>
      <w:r w:rsidRPr="00C06333">
        <w:rPr>
          <w:rFonts w:ascii="Calibri" w:hAnsi="Calibri" w:cs="Calibri"/>
          <w:sz w:val="18"/>
          <w:szCs w:val="20"/>
        </w:rPr>
        <w:t xml:space="preserve"> et respons. Der mindes om at efficacy betegner</w:t>
      </w:r>
      <w:r w:rsidRPr="00C06333">
        <w:rPr>
          <w:rFonts w:ascii="Calibri" w:hAnsi="Calibri" w:cs="Calibri"/>
          <w:i/>
          <w:iCs/>
          <w:sz w:val="18"/>
          <w:szCs w:val="20"/>
        </w:rPr>
        <w:t xml:space="preserve"> styrken</w:t>
      </w:r>
      <w:r w:rsidRPr="00C06333">
        <w:rPr>
          <w:rFonts w:ascii="Calibri" w:hAnsi="Calibri" w:cs="Calibri"/>
          <w:sz w:val="18"/>
          <w:szCs w:val="20"/>
        </w:rPr>
        <w:t xml:space="preserve"> af responset, når </w:t>
      </w:r>
      <w:r w:rsidRPr="00C06333">
        <w:rPr>
          <w:rFonts w:ascii="Calibri" w:hAnsi="Calibri" w:cs="Calibri"/>
          <w:i/>
          <w:iCs/>
          <w:sz w:val="18"/>
          <w:szCs w:val="20"/>
        </w:rPr>
        <w:t>først</w:t>
      </w:r>
      <w:r w:rsidRPr="00C06333">
        <w:rPr>
          <w:rFonts w:ascii="Calibri" w:hAnsi="Calibri" w:cs="Calibri"/>
          <w:sz w:val="18"/>
          <w:szCs w:val="20"/>
        </w:rPr>
        <w:t xml:space="preserve"> det er sat i gang.  </w:t>
      </w:r>
    </w:p>
    <w:p w:rsidR="00C06333" w:rsidRDefault="00C06333" w:rsidP="00C06333">
      <w:pPr>
        <w:pStyle w:val="NormalWeb"/>
        <w:spacing w:before="0" w:beforeAutospacing="0" w:after="0" w:afterAutospacing="0"/>
        <w:rPr>
          <w:rFonts w:ascii="Calibri" w:hAnsi="Calibri" w:cs="Calibri"/>
          <w:sz w:val="22"/>
          <w:szCs w:val="22"/>
        </w:rPr>
      </w:pPr>
      <w:r>
        <w:rPr>
          <w:rFonts w:ascii="Calibri" w:hAnsi="Calibri" w:cs="Calibri"/>
          <w:noProof/>
          <w:sz w:val="22"/>
          <w:szCs w:val="22"/>
        </w:rPr>
        <w:drawing>
          <wp:inline distT="0" distB="0" distL="0" distR="0">
            <wp:extent cx="3256404" cy="2520950"/>
            <wp:effectExtent l="0" t="0" r="1270" b="0"/>
            <wp:docPr id="20" name="Billede 20" descr="Computergenereret alternativ tekst:&#10;Negative affinity modulation &#10;100 &#10;c 50 &#10;Log [Agonistl (mol/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omputergenereret alternativ tekst:&#10;Negative affinity modulation &#10;100 &#10;c 50 &#10;Log [Agonistl (mol/L) "/>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63672" cy="2526577"/>
                    </a:xfrm>
                    <a:prstGeom prst="rect">
                      <a:avLst/>
                    </a:prstGeom>
                    <a:noFill/>
                    <a:ln>
                      <a:noFill/>
                    </a:ln>
                  </pic:spPr>
                </pic:pic>
              </a:graphicData>
            </a:graphic>
          </wp:inline>
        </w:drawing>
      </w:r>
    </w:p>
    <w:p w:rsidR="0036297C" w:rsidRDefault="00C06333" w:rsidP="00C06333">
      <w:pPr>
        <w:pStyle w:val="NormalWeb"/>
        <w:spacing w:before="0" w:beforeAutospacing="0" w:after="0" w:afterAutospacing="0"/>
        <w:rPr>
          <w:rFonts w:ascii="Calibri" w:hAnsi="Calibri" w:cs="Calibri"/>
          <w:sz w:val="22"/>
          <w:szCs w:val="22"/>
        </w:rPr>
      </w:pPr>
      <w:r>
        <w:rPr>
          <w:rFonts w:ascii="Calibri" w:hAnsi="Calibri" w:cs="Calibri"/>
          <w:sz w:val="22"/>
          <w:szCs w:val="22"/>
        </w:rPr>
        <w:br/>
      </w:r>
      <w:r w:rsidRPr="00C06333">
        <w:rPr>
          <w:rFonts w:ascii="Calibri" w:hAnsi="Calibri" w:cs="Calibri"/>
          <w:sz w:val="18"/>
          <w:szCs w:val="20"/>
        </w:rPr>
        <w:t xml:space="preserve">Hvis agonistens affinitet for det ortosteriske site nedsættes (som følge af allosterisk modulering), sker der en højreforskydning af dosis-effekt-kurven. Højere koncentrationer (doser), </w:t>
      </w:r>
      <w:r w:rsidRPr="00C17048">
        <w:rPr>
          <w:rFonts w:ascii="Calibri" w:hAnsi="Calibri" w:cs="Calibri"/>
          <w:i/>
          <w:sz w:val="18"/>
          <w:szCs w:val="20"/>
        </w:rPr>
        <w:t>som ved reversibel kompetitiv antagonisme</w:t>
      </w:r>
      <w:r w:rsidRPr="00C06333">
        <w:rPr>
          <w:rFonts w:ascii="Calibri" w:hAnsi="Calibri" w:cs="Calibri"/>
          <w:sz w:val="18"/>
          <w:szCs w:val="20"/>
        </w:rPr>
        <w:t xml:space="preserve">, skal nu til, for at igangsætte samme respons som under vanlige omstændigheder. </w:t>
      </w:r>
      <w:r w:rsidRPr="00C06333">
        <w:rPr>
          <w:rFonts w:ascii="Calibri" w:hAnsi="Calibri" w:cs="Calibri"/>
          <w:sz w:val="18"/>
          <w:szCs w:val="20"/>
        </w:rPr>
        <w:br/>
      </w:r>
      <w:r w:rsidRPr="00C06333">
        <w:rPr>
          <w:rFonts w:ascii="Calibri" w:hAnsi="Calibri" w:cs="Calibri"/>
          <w:sz w:val="18"/>
          <w:szCs w:val="20"/>
        </w:rPr>
        <w:br/>
        <w:t>Dosis-effekt-kurven er uændret mhp. hældning og E</w:t>
      </w:r>
      <w:r w:rsidRPr="00C06333">
        <w:rPr>
          <w:rFonts w:ascii="Calibri" w:hAnsi="Calibri" w:cs="Calibri"/>
          <w:sz w:val="18"/>
          <w:szCs w:val="20"/>
          <w:vertAlign w:val="subscript"/>
        </w:rPr>
        <w:t>max</w:t>
      </w:r>
      <w:r w:rsidRPr="00C06333">
        <w:rPr>
          <w:rFonts w:ascii="Calibri" w:hAnsi="Calibri" w:cs="Calibri"/>
          <w:sz w:val="18"/>
          <w:szCs w:val="20"/>
        </w:rPr>
        <w:t xml:space="preserve">, da agonistens </w:t>
      </w:r>
      <w:r w:rsidRPr="00C06333">
        <w:rPr>
          <w:rFonts w:ascii="Calibri" w:hAnsi="Calibri" w:cs="Calibri"/>
          <w:i/>
          <w:iCs/>
          <w:sz w:val="18"/>
          <w:szCs w:val="20"/>
        </w:rPr>
        <w:t>efficacy</w:t>
      </w:r>
      <w:r w:rsidRPr="00C06333">
        <w:rPr>
          <w:rFonts w:ascii="Calibri" w:hAnsi="Calibri" w:cs="Calibri"/>
          <w:sz w:val="18"/>
          <w:szCs w:val="20"/>
        </w:rPr>
        <w:t xml:space="preserve">, når først den er bundet, er uændret. Agonistens </w:t>
      </w:r>
      <w:r w:rsidRPr="00C06333">
        <w:rPr>
          <w:rFonts w:ascii="Calibri" w:hAnsi="Calibri" w:cs="Calibri"/>
          <w:i/>
          <w:iCs/>
          <w:sz w:val="18"/>
          <w:szCs w:val="20"/>
        </w:rPr>
        <w:t>potency</w:t>
      </w:r>
      <w:r w:rsidRPr="00C06333">
        <w:rPr>
          <w:rFonts w:ascii="Calibri" w:hAnsi="Calibri" w:cs="Calibri"/>
          <w:sz w:val="18"/>
          <w:szCs w:val="20"/>
        </w:rPr>
        <w:t xml:space="preserve"> er derimod nedsat, da der skal større koncentrationer til end normalt, før den virker. </w:t>
      </w:r>
      <w:r w:rsidR="0036297C">
        <w:rPr>
          <w:rFonts w:ascii="Calibri" w:hAnsi="Calibri" w:cs="Calibri"/>
          <w:sz w:val="22"/>
          <w:szCs w:val="22"/>
        </w:rPr>
        <w:br/>
      </w:r>
    </w:p>
    <w:p w:rsidR="00CE134D" w:rsidRDefault="00CE134D" w:rsidP="00CE134D">
      <w:pPr>
        <w:pStyle w:val="NormalWeb"/>
        <w:spacing w:before="0" w:beforeAutospacing="0" w:after="0" w:afterAutospacing="0"/>
        <w:rPr>
          <w:rFonts w:ascii="Calibri" w:hAnsi="Calibri" w:cs="Calibri"/>
          <w:sz w:val="22"/>
          <w:szCs w:val="22"/>
        </w:rPr>
      </w:pPr>
      <w:r>
        <w:rPr>
          <w:rFonts w:ascii="Calibri" w:hAnsi="Calibri" w:cs="Calibri"/>
          <w:sz w:val="22"/>
          <w:szCs w:val="22"/>
          <w:u w:val="single"/>
        </w:rPr>
        <w:t>Efficacymodulering</w:t>
      </w:r>
      <w:r>
        <w:rPr>
          <w:rFonts w:ascii="Calibri" w:hAnsi="Calibri" w:cs="Calibri"/>
          <w:sz w:val="22"/>
          <w:szCs w:val="22"/>
          <w:u w:val="single"/>
        </w:rPr>
        <w:br/>
      </w:r>
      <w:r>
        <w:rPr>
          <w:rFonts w:ascii="Calibri" w:hAnsi="Calibri" w:cs="Calibri"/>
          <w:sz w:val="22"/>
          <w:szCs w:val="22"/>
        </w:rPr>
        <w:t>Ved at modulere efficacy - eksempelvis ved at påvirke den intracellulære pathway som antagonisten igangsætter - kan den allosteriske facilitator venstreforskyde kurven og hæve E</w:t>
      </w:r>
      <w:r>
        <w:rPr>
          <w:rFonts w:ascii="Calibri" w:hAnsi="Calibri" w:cs="Calibri"/>
          <w:sz w:val="22"/>
          <w:szCs w:val="22"/>
          <w:vertAlign w:val="subscript"/>
        </w:rPr>
        <w:t>max</w:t>
      </w:r>
      <w:r>
        <w:rPr>
          <w:rFonts w:ascii="Calibri" w:hAnsi="Calibri" w:cs="Calibri"/>
          <w:sz w:val="22"/>
          <w:szCs w:val="22"/>
        </w:rPr>
        <w:t xml:space="preserve">, mens den allosteriske antagonist kan </w:t>
      </w:r>
      <w:proofErr w:type="spellStart"/>
      <w:r>
        <w:rPr>
          <w:rFonts w:ascii="Calibri" w:hAnsi="Calibri" w:cs="Calibri"/>
          <w:sz w:val="22"/>
          <w:szCs w:val="22"/>
        </w:rPr>
        <w:t>højreforskyde</w:t>
      </w:r>
      <w:proofErr w:type="spellEnd"/>
      <w:r>
        <w:rPr>
          <w:rFonts w:ascii="Calibri" w:hAnsi="Calibri" w:cs="Calibri"/>
          <w:sz w:val="22"/>
          <w:szCs w:val="22"/>
        </w:rPr>
        <w:t xml:space="preserve"> kurven og sænke E</w:t>
      </w:r>
      <w:r>
        <w:rPr>
          <w:rFonts w:ascii="Calibri" w:hAnsi="Calibri" w:cs="Calibri"/>
          <w:sz w:val="22"/>
          <w:szCs w:val="22"/>
          <w:vertAlign w:val="subscript"/>
        </w:rPr>
        <w:t>max</w:t>
      </w:r>
      <w:r>
        <w:rPr>
          <w:rFonts w:ascii="Calibri" w:hAnsi="Calibri" w:cs="Calibri"/>
          <w:sz w:val="22"/>
          <w:szCs w:val="22"/>
        </w:rPr>
        <w:t xml:space="preserve">. Samtidig vil kurven hhv. stige eller falde for de to eksempler. </w:t>
      </w:r>
      <w:r>
        <w:rPr>
          <w:rFonts w:ascii="Calibri" w:hAnsi="Calibri" w:cs="Calibri"/>
          <w:sz w:val="22"/>
          <w:szCs w:val="22"/>
        </w:rPr>
        <w:br/>
      </w:r>
      <w:r>
        <w:rPr>
          <w:rFonts w:ascii="Calibri" w:hAnsi="Calibri" w:cs="Calibri"/>
          <w:sz w:val="22"/>
          <w:szCs w:val="22"/>
        </w:rPr>
        <w:lastRenderedPageBreak/>
        <w:br/>
        <w:t> </w:t>
      </w:r>
    </w:p>
    <w:p w:rsidR="00CE134D" w:rsidRDefault="00CE134D" w:rsidP="00CE134D">
      <w:pPr>
        <w:pStyle w:val="NormalWeb"/>
        <w:spacing w:before="0" w:beforeAutospacing="0" w:after="0" w:afterAutospacing="0"/>
        <w:rPr>
          <w:rFonts w:ascii="Calibri" w:hAnsi="Calibri" w:cs="Calibri"/>
          <w:sz w:val="22"/>
          <w:szCs w:val="22"/>
        </w:rPr>
      </w:pPr>
      <w:r>
        <w:rPr>
          <w:rFonts w:ascii="Calibri" w:hAnsi="Calibri" w:cs="Calibri"/>
          <w:noProof/>
          <w:sz w:val="22"/>
          <w:szCs w:val="22"/>
        </w:rPr>
        <w:drawing>
          <wp:inline distT="0" distB="0" distL="0" distR="0">
            <wp:extent cx="3592195" cy="2546985"/>
            <wp:effectExtent l="0" t="0" r="8255" b="5715"/>
            <wp:docPr id="23" name="Billed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92195" cy="2546985"/>
                    </a:xfrm>
                    <a:prstGeom prst="rect">
                      <a:avLst/>
                    </a:prstGeom>
                    <a:noFill/>
                    <a:ln>
                      <a:noFill/>
                    </a:ln>
                  </pic:spPr>
                </pic:pic>
              </a:graphicData>
            </a:graphic>
          </wp:inline>
        </w:drawing>
      </w:r>
    </w:p>
    <w:p w:rsidR="00CE134D" w:rsidRPr="00CE134D" w:rsidRDefault="00CE134D" w:rsidP="00CE134D">
      <w:pPr>
        <w:pStyle w:val="NormalWeb"/>
        <w:spacing w:before="0" w:beforeAutospacing="0" w:after="0" w:afterAutospacing="0"/>
        <w:rPr>
          <w:rFonts w:ascii="Calibri" w:hAnsi="Calibri" w:cs="Calibri"/>
          <w:sz w:val="18"/>
          <w:szCs w:val="20"/>
        </w:rPr>
      </w:pPr>
      <w:r w:rsidRPr="00CE134D">
        <w:rPr>
          <w:rFonts w:ascii="Calibri" w:hAnsi="Calibri" w:cs="Calibri"/>
          <w:sz w:val="18"/>
          <w:szCs w:val="20"/>
        </w:rPr>
        <w:t xml:space="preserve">Ved at øge efficacy sker der </w:t>
      </w:r>
      <w:r>
        <w:rPr>
          <w:rFonts w:ascii="Calibri" w:hAnsi="Calibri" w:cs="Calibri"/>
          <w:sz w:val="18"/>
          <w:szCs w:val="20"/>
        </w:rPr>
        <w:t>(</w:t>
      </w:r>
      <w:r w:rsidRPr="00CE134D">
        <w:rPr>
          <w:rFonts w:ascii="Calibri" w:hAnsi="Calibri" w:cs="Calibri"/>
          <w:sz w:val="18"/>
          <w:szCs w:val="20"/>
        </w:rPr>
        <w:t>selvfølgelig</w:t>
      </w:r>
      <w:r>
        <w:rPr>
          <w:rFonts w:ascii="Calibri" w:hAnsi="Calibri" w:cs="Calibri"/>
          <w:sz w:val="18"/>
          <w:szCs w:val="20"/>
        </w:rPr>
        <w:t>)</w:t>
      </w:r>
      <w:r w:rsidRPr="00CE134D">
        <w:rPr>
          <w:rFonts w:ascii="Calibri" w:hAnsi="Calibri" w:cs="Calibri"/>
          <w:sz w:val="18"/>
          <w:szCs w:val="20"/>
        </w:rPr>
        <w:t xml:space="preserve"> en stigning i E</w:t>
      </w:r>
      <w:r w:rsidRPr="00CE134D">
        <w:rPr>
          <w:rFonts w:ascii="Calibri" w:hAnsi="Calibri" w:cs="Calibri"/>
          <w:sz w:val="18"/>
          <w:szCs w:val="20"/>
          <w:vertAlign w:val="subscript"/>
        </w:rPr>
        <w:t>max</w:t>
      </w:r>
      <w:r w:rsidRPr="00CE134D">
        <w:rPr>
          <w:rFonts w:ascii="Calibri" w:hAnsi="Calibri" w:cs="Calibri"/>
          <w:sz w:val="18"/>
          <w:szCs w:val="20"/>
        </w:rPr>
        <w:t xml:space="preserve">, da efficacy jo netop betegner styrken hvormed agonisten igangsætter et respons. </w:t>
      </w:r>
      <w:r>
        <w:rPr>
          <w:rFonts w:ascii="Calibri" w:hAnsi="Calibri" w:cs="Calibri"/>
          <w:sz w:val="18"/>
          <w:szCs w:val="20"/>
        </w:rPr>
        <w:t xml:space="preserve">Kurven er </w:t>
      </w:r>
      <w:r>
        <w:rPr>
          <w:rFonts w:ascii="Calibri" w:hAnsi="Calibri" w:cs="Calibri"/>
          <w:i/>
          <w:sz w:val="18"/>
          <w:szCs w:val="20"/>
        </w:rPr>
        <w:t xml:space="preserve">ikke </w:t>
      </w:r>
      <w:r>
        <w:rPr>
          <w:rFonts w:ascii="Calibri" w:hAnsi="Calibri" w:cs="Calibri"/>
          <w:sz w:val="18"/>
          <w:szCs w:val="20"/>
        </w:rPr>
        <w:t xml:space="preserve">venstreforskudt selvom det kan se sådan ud. Dette skyldes at blå og røde grafer overlapper hinanden og at man har valgt at tage log til koncentrationen af agonist, hvorfor kurven antager sigmoid-form. </w:t>
      </w:r>
    </w:p>
    <w:p w:rsidR="001B500B" w:rsidRPr="001B500B" w:rsidRDefault="001B500B" w:rsidP="001B500B">
      <w:pPr>
        <w:pStyle w:val="NormalWeb"/>
        <w:spacing w:before="0" w:beforeAutospacing="0" w:after="0" w:afterAutospacing="0"/>
        <w:rPr>
          <w:rFonts w:ascii="Calibri" w:hAnsi="Calibri" w:cs="Calibri"/>
          <w:sz w:val="22"/>
          <w:szCs w:val="22"/>
        </w:rPr>
      </w:pPr>
    </w:p>
    <w:p w:rsidR="00277295" w:rsidRDefault="0036297C" w:rsidP="00C17048">
      <w:pPr>
        <w:pStyle w:val="NormalWeb"/>
        <w:spacing w:before="0" w:beforeAutospacing="0" w:after="0" w:afterAutospacing="0"/>
        <w:rPr>
          <w:rFonts w:ascii="Calibri" w:hAnsi="Calibri" w:cs="Calibri"/>
          <w:sz w:val="22"/>
          <w:szCs w:val="20"/>
        </w:rPr>
      </w:pPr>
      <w:r>
        <w:rPr>
          <w:rFonts w:ascii="Calibri" w:hAnsi="Calibri" w:cs="Calibri"/>
          <w:sz w:val="22"/>
          <w:szCs w:val="22"/>
          <w:u w:val="single"/>
        </w:rPr>
        <w:t>Allosterisk agonisme</w:t>
      </w:r>
      <w:r>
        <w:rPr>
          <w:rFonts w:ascii="Calibri" w:hAnsi="Calibri" w:cs="Calibri"/>
          <w:sz w:val="22"/>
          <w:szCs w:val="22"/>
          <w:u w:val="single"/>
        </w:rPr>
        <w:br/>
      </w:r>
      <w:r>
        <w:rPr>
          <w:rFonts w:ascii="Calibri" w:hAnsi="Calibri" w:cs="Calibri"/>
          <w:sz w:val="22"/>
          <w:szCs w:val="22"/>
        </w:rPr>
        <w:t xml:space="preserve">Overskriften behøver ikke yderligere kommentarer (se tidligere). </w:t>
      </w:r>
      <w:r>
        <w:rPr>
          <w:rFonts w:ascii="Calibri" w:hAnsi="Calibri" w:cs="Calibri"/>
          <w:sz w:val="22"/>
          <w:szCs w:val="22"/>
        </w:rPr>
        <w:br/>
      </w:r>
      <w:r>
        <w:rPr>
          <w:rFonts w:ascii="Calibri" w:hAnsi="Calibri" w:cs="Calibri"/>
          <w:sz w:val="22"/>
          <w:szCs w:val="22"/>
        </w:rPr>
        <w:br/>
      </w:r>
      <w:r w:rsidR="00FA0344">
        <w:rPr>
          <w:rFonts w:ascii="Calibri" w:hAnsi="Calibri" w:cs="Calibri"/>
          <w:b/>
          <w:sz w:val="22"/>
          <w:szCs w:val="20"/>
        </w:rPr>
        <w:t>Desensibilisering</w:t>
      </w:r>
      <w:r w:rsidR="0078532A">
        <w:rPr>
          <w:rFonts w:ascii="Calibri" w:hAnsi="Calibri" w:cs="Calibri"/>
          <w:b/>
          <w:sz w:val="22"/>
          <w:szCs w:val="20"/>
        </w:rPr>
        <w:t xml:space="preserve"> og tolerance</w:t>
      </w:r>
      <w:r w:rsidR="0078532A">
        <w:rPr>
          <w:rFonts w:ascii="Calibri" w:hAnsi="Calibri" w:cs="Calibri"/>
          <w:b/>
          <w:sz w:val="22"/>
          <w:szCs w:val="20"/>
        </w:rPr>
        <w:br/>
      </w:r>
      <w:r w:rsidR="0078532A">
        <w:rPr>
          <w:rFonts w:ascii="Calibri" w:hAnsi="Calibri" w:cs="Calibri"/>
          <w:sz w:val="22"/>
          <w:szCs w:val="20"/>
        </w:rPr>
        <w:t xml:space="preserve">Desensibilisering og tolerance beskriver begge tilstanden, hvor et lægemiddels effekt gradvist nedsættes som følge af kontinuerlig eller gentagen brug. </w:t>
      </w:r>
      <w:r w:rsidR="0078532A">
        <w:rPr>
          <w:rFonts w:ascii="Calibri" w:hAnsi="Calibri" w:cs="Calibri"/>
          <w:sz w:val="22"/>
          <w:szCs w:val="20"/>
        </w:rPr>
        <w:br/>
      </w:r>
      <w:r w:rsidR="004C3D87">
        <w:rPr>
          <w:rFonts w:ascii="Calibri" w:hAnsi="Calibri" w:cs="Calibri"/>
          <w:sz w:val="22"/>
          <w:szCs w:val="20"/>
        </w:rPr>
        <w:t>Skellet mellem de to tilsyneladende tilsvarende begreber</w:t>
      </w:r>
      <w:r w:rsidR="00277295">
        <w:rPr>
          <w:rFonts w:ascii="Calibri" w:hAnsi="Calibri" w:cs="Calibri"/>
          <w:sz w:val="22"/>
          <w:szCs w:val="20"/>
        </w:rPr>
        <w:t xml:space="preserve">, på trods af ikke at være klart defineret, </w:t>
      </w:r>
      <w:r w:rsidR="004C3D87">
        <w:rPr>
          <w:rFonts w:ascii="Calibri" w:hAnsi="Calibri" w:cs="Calibri"/>
          <w:sz w:val="22"/>
          <w:szCs w:val="20"/>
        </w:rPr>
        <w:t xml:space="preserve">beror på den tidsmæssige forskel i udviklingen af de to.  Med desensibilisering forstås en proces hvor et lægemiddels effekt gradvist, men hurtigt nedsættes (typisk indenfor få minutter), mens der ved tolerance forstås </w:t>
      </w:r>
      <w:r w:rsidR="00277295">
        <w:rPr>
          <w:rFonts w:ascii="Calibri" w:hAnsi="Calibri" w:cs="Calibri"/>
          <w:sz w:val="22"/>
          <w:szCs w:val="20"/>
        </w:rPr>
        <w:t>en proces hvor</w:t>
      </w:r>
      <w:r w:rsidR="004C3D87">
        <w:rPr>
          <w:rFonts w:ascii="Calibri" w:hAnsi="Calibri" w:cs="Calibri"/>
          <w:sz w:val="22"/>
          <w:szCs w:val="20"/>
        </w:rPr>
        <w:t xml:space="preserve"> et lægemiddels effekt gradvist, </w:t>
      </w:r>
      <w:r w:rsidR="00277295">
        <w:rPr>
          <w:rFonts w:ascii="Calibri" w:hAnsi="Calibri" w:cs="Calibri"/>
          <w:sz w:val="22"/>
          <w:szCs w:val="20"/>
        </w:rPr>
        <w:t>men</w:t>
      </w:r>
      <w:r w:rsidR="004C3D87">
        <w:rPr>
          <w:rFonts w:ascii="Calibri" w:hAnsi="Calibri" w:cs="Calibri"/>
          <w:sz w:val="22"/>
          <w:szCs w:val="20"/>
        </w:rPr>
        <w:t xml:space="preserve"> mere langsomt nedsættes (indenfor alt mellem nogle få timer og adskillige uger).</w:t>
      </w:r>
      <w:r w:rsidR="00277295">
        <w:rPr>
          <w:rFonts w:ascii="Calibri" w:hAnsi="Calibri" w:cs="Calibri"/>
          <w:sz w:val="22"/>
          <w:szCs w:val="20"/>
        </w:rPr>
        <w:t xml:space="preserve"> Desensibilisering og tolerance kan bl.a. opstå ved: </w:t>
      </w:r>
      <w:r w:rsidR="00277295">
        <w:rPr>
          <w:rFonts w:ascii="Calibri" w:hAnsi="Calibri" w:cs="Calibri"/>
          <w:sz w:val="22"/>
          <w:szCs w:val="20"/>
        </w:rPr>
        <w:br/>
      </w:r>
    </w:p>
    <w:p w:rsidR="00277295" w:rsidRDefault="00277295" w:rsidP="00277295">
      <w:pPr>
        <w:pStyle w:val="NormalWeb"/>
        <w:numPr>
          <w:ilvl w:val="0"/>
          <w:numId w:val="10"/>
        </w:numPr>
        <w:spacing w:before="0" w:beforeAutospacing="0" w:after="0" w:afterAutospacing="0"/>
        <w:rPr>
          <w:rFonts w:ascii="Calibri" w:hAnsi="Calibri" w:cs="Calibri"/>
          <w:sz w:val="22"/>
          <w:szCs w:val="20"/>
        </w:rPr>
      </w:pPr>
      <w:r>
        <w:rPr>
          <w:rFonts w:ascii="Calibri" w:hAnsi="Calibri" w:cs="Calibri"/>
          <w:sz w:val="22"/>
          <w:szCs w:val="20"/>
        </w:rPr>
        <w:t xml:space="preserve">Receptorforandringer (konformationsmæssige) </w:t>
      </w:r>
    </w:p>
    <w:p w:rsidR="00277295" w:rsidRDefault="00277295" w:rsidP="00277295">
      <w:pPr>
        <w:pStyle w:val="NormalWeb"/>
        <w:numPr>
          <w:ilvl w:val="0"/>
          <w:numId w:val="10"/>
        </w:numPr>
        <w:spacing w:before="0" w:beforeAutospacing="0" w:after="0" w:afterAutospacing="0"/>
        <w:rPr>
          <w:rFonts w:ascii="Calibri" w:hAnsi="Calibri" w:cs="Calibri"/>
          <w:sz w:val="22"/>
          <w:szCs w:val="20"/>
        </w:rPr>
      </w:pPr>
      <w:r>
        <w:rPr>
          <w:rFonts w:ascii="Calibri" w:hAnsi="Calibri" w:cs="Calibri"/>
          <w:sz w:val="22"/>
          <w:szCs w:val="20"/>
        </w:rPr>
        <w:t>Receptortab</w:t>
      </w:r>
    </w:p>
    <w:p w:rsidR="00277295" w:rsidRDefault="00277295" w:rsidP="00277295">
      <w:pPr>
        <w:pStyle w:val="NormalWeb"/>
        <w:numPr>
          <w:ilvl w:val="0"/>
          <w:numId w:val="10"/>
        </w:numPr>
        <w:spacing w:before="0" w:beforeAutospacing="0" w:after="0" w:afterAutospacing="0"/>
        <w:rPr>
          <w:rFonts w:ascii="Calibri" w:hAnsi="Calibri" w:cs="Calibri"/>
          <w:sz w:val="22"/>
          <w:szCs w:val="20"/>
        </w:rPr>
      </w:pPr>
      <w:r>
        <w:rPr>
          <w:rFonts w:ascii="Calibri" w:hAnsi="Calibri" w:cs="Calibri"/>
          <w:sz w:val="22"/>
          <w:szCs w:val="20"/>
        </w:rPr>
        <w:t xml:space="preserve">Udtømmende forbrug af mediatorer </w:t>
      </w:r>
    </w:p>
    <w:p w:rsidR="00277295" w:rsidRDefault="00277295" w:rsidP="00277295">
      <w:pPr>
        <w:pStyle w:val="NormalWeb"/>
        <w:numPr>
          <w:ilvl w:val="0"/>
          <w:numId w:val="10"/>
        </w:numPr>
        <w:spacing w:before="0" w:beforeAutospacing="0" w:after="0" w:afterAutospacing="0"/>
        <w:rPr>
          <w:rFonts w:ascii="Calibri" w:hAnsi="Calibri" w:cs="Calibri"/>
          <w:sz w:val="22"/>
          <w:szCs w:val="20"/>
        </w:rPr>
      </w:pPr>
      <w:r>
        <w:rPr>
          <w:rFonts w:ascii="Calibri" w:hAnsi="Calibri" w:cs="Calibri"/>
          <w:sz w:val="22"/>
          <w:szCs w:val="20"/>
        </w:rPr>
        <w:t xml:space="preserve">Øget lægemiddelnedbrydelse </w:t>
      </w:r>
    </w:p>
    <w:p w:rsidR="00277295" w:rsidRDefault="00277295" w:rsidP="00277295">
      <w:pPr>
        <w:pStyle w:val="NormalWeb"/>
        <w:numPr>
          <w:ilvl w:val="0"/>
          <w:numId w:val="10"/>
        </w:numPr>
        <w:spacing w:before="0" w:beforeAutospacing="0" w:after="0" w:afterAutospacing="0"/>
        <w:rPr>
          <w:rFonts w:ascii="Calibri" w:hAnsi="Calibri" w:cs="Calibri"/>
          <w:sz w:val="22"/>
          <w:szCs w:val="20"/>
        </w:rPr>
      </w:pPr>
      <w:r>
        <w:rPr>
          <w:rFonts w:ascii="Calibri" w:hAnsi="Calibri" w:cs="Calibri"/>
          <w:sz w:val="22"/>
          <w:szCs w:val="20"/>
        </w:rPr>
        <w:t xml:space="preserve">Fysiologisk tilpasning </w:t>
      </w:r>
    </w:p>
    <w:p w:rsidR="00277295" w:rsidRDefault="00277295" w:rsidP="00277295">
      <w:pPr>
        <w:pStyle w:val="NormalWeb"/>
        <w:numPr>
          <w:ilvl w:val="0"/>
          <w:numId w:val="10"/>
        </w:numPr>
        <w:spacing w:before="0" w:beforeAutospacing="0" w:after="0" w:afterAutospacing="0"/>
        <w:rPr>
          <w:rFonts w:ascii="Calibri" w:hAnsi="Calibri" w:cs="Calibri"/>
          <w:sz w:val="22"/>
          <w:szCs w:val="20"/>
        </w:rPr>
      </w:pPr>
      <w:r>
        <w:rPr>
          <w:rFonts w:ascii="Calibri" w:hAnsi="Calibri" w:cs="Calibri"/>
          <w:sz w:val="22"/>
          <w:szCs w:val="20"/>
        </w:rPr>
        <w:t xml:space="preserve">M.fl. </w:t>
      </w:r>
    </w:p>
    <w:p w:rsidR="00277295" w:rsidRDefault="00277295" w:rsidP="00277295">
      <w:pPr>
        <w:pStyle w:val="NormalWeb"/>
        <w:spacing w:before="0" w:beforeAutospacing="0" w:after="0" w:afterAutospacing="0"/>
        <w:rPr>
          <w:rFonts w:ascii="Calibri" w:hAnsi="Calibri" w:cs="Calibri"/>
          <w:b/>
          <w:sz w:val="22"/>
          <w:szCs w:val="20"/>
        </w:rPr>
      </w:pPr>
    </w:p>
    <w:p w:rsidR="001B500B" w:rsidRPr="00277295" w:rsidRDefault="0078532A" w:rsidP="00277295">
      <w:pPr>
        <w:pStyle w:val="NormalWeb"/>
        <w:spacing w:before="0" w:beforeAutospacing="0" w:after="0" w:afterAutospacing="0"/>
        <w:rPr>
          <w:rFonts w:ascii="Calibri" w:hAnsi="Calibri" w:cs="Calibri"/>
          <w:sz w:val="22"/>
          <w:szCs w:val="20"/>
        </w:rPr>
      </w:pPr>
      <w:r w:rsidRPr="00277295">
        <w:rPr>
          <w:rFonts w:ascii="Calibri" w:hAnsi="Calibri" w:cs="Calibri"/>
          <w:b/>
          <w:sz w:val="22"/>
          <w:szCs w:val="20"/>
        </w:rPr>
        <w:br/>
      </w:r>
    </w:p>
    <w:p w:rsidR="00C54667" w:rsidRPr="000C3301" w:rsidRDefault="00C54667" w:rsidP="000C3301">
      <w:pPr>
        <w:pStyle w:val="NormalWeb"/>
        <w:spacing w:before="0" w:beforeAutospacing="0" w:after="0" w:afterAutospacing="0"/>
        <w:rPr>
          <w:rFonts w:ascii="Calibri" w:hAnsi="Calibri" w:cs="Calibri"/>
          <w:sz w:val="18"/>
          <w:szCs w:val="20"/>
        </w:rPr>
      </w:pPr>
    </w:p>
    <w:p w:rsidR="000C3301" w:rsidRPr="000C3301" w:rsidRDefault="000C3301" w:rsidP="000C3301">
      <w:pPr>
        <w:pStyle w:val="NormalWeb"/>
        <w:spacing w:before="0" w:beforeAutospacing="0" w:after="0" w:afterAutospacing="0"/>
        <w:rPr>
          <w:rFonts w:ascii="Calibri" w:hAnsi="Calibri" w:cs="Calibri"/>
          <w:sz w:val="22"/>
          <w:szCs w:val="22"/>
        </w:rPr>
      </w:pPr>
      <w:r w:rsidRPr="000C3301">
        <w:rPr>
          <w:rFonts w:ascii="Calibri" w:hAnsi="Calibri" w:cs="Calibri"/>
          <w:sz w:val="22"/>
          <w:szCs w:val="22"/>
        </w:rPr>
        <w:br/>
        <w:t> </w:t>
      </w:r>
    </w:p>
    <w:p w:rsidR="008657A7" w:rsidRDefault="008657A7" w:rsidP="008657A7">
      <w:pPr>
        <w:pStyle w:val="NormalWeb"/>
        <w:spacing w:before="0" w:beforeAutospacing="0" w:after="0" w:afterAutospacing="0"/>
        <w:rPr>
          <w:rFonts w:ascii="Calibri" w:hAnsi="Calibri" w:cs="Calibri"/>
          <w:sz w:val="22"/>
          <w:szCs w:val="22"/>
        </w:rPr>
      </w:pPr>
      <w:r w:rsidRPr="008657A7">
        <w:rPr>
          <w:rFonts w:ascii="Calibri" w:hAnsi="Calibri" w:cs="Calibri"/>
          <w:sz w:val="22"/>
          <w:szCs w:val="22"/>
        </w:rPr>
        <w:br/>
      </w:r>
      <w:r>
        <w:rPr>
          <w:rFonts w:ascii="Calibri" w:hAnsi="Calibri" w:cs="Calibri"/>
          <w:sz w:val="22"/>
          <w:szCs w:val="22"/>
        </w:rPr>
        <w:t> </w:t>
      </w:r>
    </w:p>
    <w:p w:rsidR="008657A7" w:rsidRDefault="008657A7" w:rsidP="008657A7">
      <w:pPr>
        <w:pStyle w:val="NormalWeb"/>
        <w:spacing w:before="0" w:beforeAutospacing="0" w:after="0" w:afterAutospacing="0"/>
        <w:rPr>
          <w:rFonts w:ascii="Calibri" w:hAnsi="Calibri" w:cs="Calibri"/>
          <w:sz w:val="22"/>
          <w:szCs w:val="22"/>
        </w:rPr>
      </w:pPr>
    </w:p>
    <w:p w:rsidR="008657A7" w:rsidRDefault="008657A7" w:rsidP="008657A7">
      <w:pPr>
        <w:pStyle w:val="NormalWeb"/>
        <w:spacing w:before="0" w:beforeAutospacing="0" w:after="0" w:afterAutospacing="0"/>
        <w:rPr>
          <w:rFonts w:ascii="Calibri" w:hAnsi="Calibri" w:cs="Calibri"/>
          <w:sz w:val="22"/>
          <w:szCs w:val="22"/>
        </w:rPr>
      </w:pPr>
      <w:r>
        <w:rPr>
          <w:rFonts w:ascii="Calibri" w:hAnsi="Calibri" w:cs="Calibri"/>
          <w:sz w:val="22"/>
          <w:szCs w:val="22"/>
        </w:rPr>
        <w:t> </w:t>
      </w:r>
    </w:p>
    <w:p w:rsidR="007719F7" w:rsidRPr="008657A7" w:rsidRDefault="007719F7" w:rsidP="004B37D2">
      <w:pPr>
        <w:rPr>
          <w:rFonts w:ascii="Times New Roman" w:hAnsi="Times New Roman" w:cs="Times New Roman"/>
          <w:sz w:val="24"/>
          <w:szCs w:val="24"/>
        </w:rPr>
      </w:pPr>
    </w:p>
    <w:sectPr w:rsidR="007719F7" w:rsidRPr="008657A7">
      <w:pgSz w:w="11906" w:h="16838"/>
      <w:pgMar w:top="1701" w:right="1134" w:bottom="1701"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7C47933"/>
    <w:multiLevelType w:val="hybridMultilevel"/>
    <w:tmpl w:val="F6FEF5F0"/>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 w15:restartNumberingAfterBreak="0">
    <w:nsid w:val="1F3561F2"/>
    <w:multiLevelType w:val="multilevel"/>
    <w:tmpl w:val="A6C429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223A3540"/>
    <w:multiLevelType w:val="multilevel"/>
    <w:tmpl w:val="412ECE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BAE6782"/>
    <w:multiLevelType w:val="multilevel"/>
    <w:tmpl w:val="68CAAB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2E077B20"/>
    <w:multiLevelType w:val="multilevel"/>
    <w:tmpl w:val="16EA7A36"/>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Calibri" w:eastAsia="Times New Roman" w:hAnsi="Calibri" w:cs="Calibri"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E4F5809"/>
    <w:multiLevelType w:val="hybridMultilevel"/>
    <w:tmpl w:val="1A907DC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 w15:restartNumberingAfterBreak="0">
    <w:nsid w:val="30707C76"/>
    <w:multiLevelType w:val="hybridMultilevel"/>
    <w:tmpl w:val="7A14F1AE"/>
    <w:lvl w:ilvl="0" w:tplc="D272EA3A">
      <w:numFmt w:val="bullet"/>
      <w:lvlText w:val="-"/>
      <w:lvlJc w:val="left"/>
      <w:pPr>
        <w:ind w:left="1080" w:hanging="360"/>
      </w:pPr>
      <w:rPr>
        <w:rFonts w:ascii="Calibri" w:eastAsiaTheme="minorHAnsi" w:hAnsi="Calibri" w:cs="Calibri" w:hint="default"/>
        <w:b w:val="0"/>
        <w:u w:val="none"/>
      </w:rPr>
    </w:lvl>
    <w:lvl w:ilvl="1" w:tplc="04060003" w:tentative="1">
      <w:start w:val="1"/>
      <w:numFmt w:val="bullet"/>
      <w:lvlText w:val="o"/>
      <w:lvlJc w:val="left"/>
      <w:pPr>
        <w:ind w:left="1800" w:hanging="360"/>
      </w:pPr>
      <w:rPr>
        <w:rFonts w:ascii="Courier New" w:hAnsi="Courier New" w:cs="Courier New" w:hint="default"/>
      </w:rPr>
    </w:lvl>
    <w:lvl w:ilvl="2" w:tplc="04060005" w:tentative="1">
      <w:start w:val="1"/>
      <w:numFmt w:val="bullet"/>
      <w:lvlText w:val=""/>
      <w:lvlJc w:val="left"/>
      <w:pPr>
        <w:ind w:left="2520" w:hanging="360"/>
      </w:pPr>
      <w:rPr>
        <w:rFonts w:ascii="Wingdings" w:hAnsi="Wingdings" w:hint="default"/>
      </w:rPr>
    </w:lvl>
    <w:lvl w:ilvl="3" w:tplc="04060001" w:tentative="1">
      <w:start w:val="1"/>
      <w:numFmt w:val="bullet"/>
      <w:lvlText w:val=""/>
      <w:lvlJc w:val="left"/>
      <w:pPr>
        <w:ind w:left="3240" w:hanging="360"/>
      </w:pPr>
      <w:rPr>
        <w:rFonts w:ascii="Symbol" w:hAnsi="Symbol" w:hint="default"/>
      </w:rPr>
    </w:lvl>
    <w:lvl w:ilvl="4" w:tplc="04060003" w:tentative="1">
      <w:start w:val="1"/>
      <w:numFmt w:val="bullet"/>
      <w:lvlText w:val="o"/>
      <w:lvlJc w:val="left"/>
      <w:pPr>
        <w:ind w:left="3960" w:hanging="360"/>
      </w:pPr>
      <w:rPr>
        <w:rFonts w:ascii="Courier New" w:hAnsi="Courier New" w:cs="Courier New" w:hint="default"/>
      </w:rPr>
    </w:lvl>
    <w:lvl w:ilvl="5" w:tplc="04060005" w:tentative="1">
      <w:start w:val="1"/>
      <w:numFmt w:val="bullet"/>
      <w:lvlText w:val=""/>
      <w:lvlJc w:val="left"/>
      <w:pPr>
        <w:ind w:left="4680" w:hanging="360"/>
      </w:pPr>
      <w:rPr>
        <w:rFonts w:ascii="Wingdings" w:hAnsi="Wingdings" w:hint="default"/>
      </w:rPr>
    </w:lvl>
    <w:lvl w:ilvl="6" w:tplc="04060001" w:tentative="1">
      <w:start w:val="1"/>
      <w:numFmt w:val="bullet"/>
      <w:lvlText w:val=""/>
      <w:lvlJc w:val="left"/>
      <w:pPr>
        <w:ind w:left="5400" w:hanging="360"/>
      </w:pPr>
      <w:rPr>
        <w:rFonts w:ascii="Symbol" w:hAnsi="Symbol" w:hint="default"/>
      </w:rPr>
    </w:lvl>
    <w:lvl w:ilvl="7" w:tplc="04060003" w:tentative="1">
      <w:start w:val="1"/>
      <w:numFmt w:val="bullet"/>
      <w:lvlText w:val="o"/>
      <w:lvlJc w:val="left"/>
      <w:pPr>
        <w:ind w:left="6120" w:hanging="360"/>
      </w:pPr>
      <w:rPr>
        <w:rFonts w:ascii="Courier New" w:hAnsi="Courier New" w:cs="Courier New" w:hint="default"/>
      </w:rPr>
    </w:lvl>
    <w:lvl w:ilvl="8" w:tplc="04060005" w:tentative="1">
      <w:start w:val="1"/>
      <w:numFmt w:val="bullet"/>
      <w:lvlText w:val=""/>
      <w:lvlJc w:val="left"/>
      <w:pPr>
        <w:ind w:left="6840" w:hanging="360"/>
      </w:pPr>
      <w:rPr>
        <w:rFonts w:ascii="Wingdings" w:hAnsi="Wingdings" w:hint="default"/>
      </w:rPr>
    </w:lvl>
  </w:abstractNum>
  <w:abstractNum w:abstractNumId="7" w15:restartNumberingAfterBreak="0">
    <w:nsid w:val="3DA47DD3"/>
    <w:multiLevelType w:val="hybridMultilevel"/>
    <w:tmpl w:val="DB54CB78"/>
    <w:lvl w:ilvl="0" w:tplc="04060017">
      <w:start w:val="1"/>
      <w:numFmt w:val="lowerLetter"/>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8" w15:restartNumberingAfterBreak="0">
    <w:nsid w:val="46A97FCB"/>
    <w:multiLevelType w:val="hybridMultilevel"/>
    <w:tmpl w:val="14E4AFCC"/>
    <w:lvl w:ilvl="0" w:tplc="230CF474">
      <w:numFmt w:val="bullet"/>
      <w:lvlText w:val="-"/>
      <w:lvlJc w:val="left"/>
      <w:pPr>
        <w:ind w:left="1080" w:hanging="360"/>
      </w:pPr>
      <w:rPr>
        <w:rFonts w:ascii="Calibri" w:eastAsiaTheme="minorHAnsi" w:hAnsi="Calibri" w:cs="Calibri" w:hint="default"/>
        <w:sz w:val="22"/>
        <w:u w:val="none"/>
      </w:rPr>
    </w:lvl>
    <w:lvl w:ilvl="1" w:tplc="04060003" w:tentative="1">
      <w:start w:val="1"/>
      <w:numFmt w:val="bullet"/>
      <w:lvlText w:val="o"/>
      <w:lvlJc w:val="left"/>
      <w:pPr>
        <w:ind w:left="1800" w:hanging="360"/>
      </w:pPr>
      <w:rPr>
        <w:rFonts w:ascii="Courier New" w:hAnsi="Courier New" w:cs="Courier New" w:hint="default"/>
      </w:rPr>
    </w:lvl>
    <w:lvl w:ilvl="2" w:tplc="04060005" w:tentative="1">
      <w:start w:val="1"/>
      <w:numFmt w:val="bullet"/>
      <w:lvlText w:val=""/>
      <w:lvlJc w:val="left"/>
      <w:pPr>
        <w:ind w:left="2520" w:hanging="360"/>
      </w:pPr>
      <w:rPr>
        <w:rFonts w:ascii="Wingdings" w:hAnsi="Wingdings" w:hint="default"/>
      </w:rPr>
    </w:lvl>
    <w:lvl w:ilvl="3" w:tplc="04060001" w:tentative="1">
      <w:start w:val="1"/>
      <w:numFmt w:val="bullet"/>
      <w:lvlText w:val=""/>
      <w:lvlJc w:val="left"/>
      <w:pPr>
        <w:ind w:left="3240" w:hanging="360"/>
      </w:pPr>
      <w:rPr>
        <w:rFonts w:ascii="Symbol" w:hAnsi="Symbol" w:hint="default"/>
      </w:rPr>
    </w:lvl>
    <w:lvl w:ilvl="4" w:tplc="04060003" w:tentative="1">
      <w:start w:val="1"/>
      <w:numFmt w:val="bullet"/>
      <w:lvlText w:val="o"/>
      <w:lvlJc w:val="left"/>
      <w:pPr>
        <w:ind w:left="3960" w:hanging="360"/>
      </w:pPr>
      <w:rPr>
        <w:rFonts w:ascii="Courier New" w:hAnsi="Courier New" w:cs="Courier New" w:hint="default"/>
      </w:rPr>
    </w:lvl>
    <w:lvl w:ilvl="5" w:tplc="04060005" w:tentative="1">
      <w:start w:val="1"/>
      <w:numFmt w:val="bullet"/>
      <w:lvlText w:val=""/>
      <w:lvlJc w:val="left"/>
      <w:pPr>
        <w:ind w:left="4680" w:hanging="360"/>
      </w:pPr>
      <w:rPr>
        <w:rFonts w:ascii="Wingdings" w:hAnsi="Wingdings" w:hint="default"/>
      </w:rPr>
    </w:lvl>
    <w:lvl w:ilvl="6" w:tplc="04060001" w:tentative="1">
      <w:start w:val="1"/>
      <w:numFmt w:val="bullet"/>
      <w:lvlText w:val=""/>
      <w:lvlJc w:val="left"/>
      <w:pPr>
        <w:ind w:left="5400" w:hanging="360"/>
      </w:pPr>
      <w:rPr>
        <w:rFonts w:ascii="Symbol" w:hAnsi="Symbol" w:hint="default"/>
      </w:rPr>
    </w:lvl>
    <w:lvl w:ilvl="7" w:tplc="04060003" w:tentative="1">
      <w:start w:val="1"/>
      <w:numFmt w:val="bullet"/>
      <w:lvlText w:val="o"/>
      <w:lvlJc w:val="left"/>
      <w:pPr>
        <w:ind w:left="6120" w:hanging="360"/>
      </w:pPr>
      <w:rPr>
        <w:rFonts w:ascii="Courier New" w:hAnsi="Courier New" w:cs="Courier New" w:hint="default"/>
      </w:rPr>
    </w:lvl>
    <w:lvl w:ilvl="8" w:tplc="04060005" w:tentative="1">
      <w:start w:val="1"/>
      <w:numFmt w:val="bullet"/>
      <w:lvlText w:val=""/>
      <w:lvlJc w:val="left"/>
      <w:pPr>
        <w:ind w:left="6840" w:hanging="360"/>
      </w:pPr>
      <w:rPr>
        <w:rFonts w:ascii="Wingdings" w:hAnsi="Wingdings" w:hint="default"/>
      </w:rPr>
    </w:lvl>
  </w:abstractNum>
  <w:abstractNum w:abstractNumId="9" w15:restartNumberingAfterBreak="0">
    <w:nsid w:val="677A7B7F"/>
    <w:multiLevelType w:val="hybridMultilevel"/>
    <w:tmpl w:val="387427E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9"/>
  </w:num>
  <w:num w:numId="2">
    <w:abstractNumId w:val="8"/>
  </w:num>
  <w:num w:numId="3">
    <w:abstractNumId w:val="5"/>
  </w:num>
  <w:num w:numId="4">
    <w:abstractNumId w:val="6"/>
  </w:num>
  <w:num w:numId="5">
    <w:abstractNumId w:val="4"/>
  </w:num>
  <w:num w:numId="6">
    <w:abstractNumId w:val="2"/>
  </w:num>
  <w:num w:numId="7">
    <w:abstractNumId w:val="3"/>
  </w:num>
  <w:num w:numId="8">
    <w:abstractNumId w:val="1"/>
  </w:num>
  <w:num w:numId="9">
    <w:abstractNumId w:val="7"/>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NotDisplayPageBoundaries/>
  <w:proofState w:spelling="clean" w:grammar="clean"/>
  <w:defaultTabStop w:val="1304"/>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48E5"/>
    <w:rsid w:val="00046286"/>
    <w:rsid w:val="000C3301"/>
    <w:rsid w:val="001248E5"/>
    <w:rsid w:val="001B500B"/>
    <w:rsid w:val="00216245"/>
    <w:rsid w:val="00265CF1"/>
    <w:rsid w:val="00277295"/>
    <w:rsid w:val="00297F08"/>
    <w:rsid w:val="00353AEF"/>
    <w:rsid w:val="0036297C"/>
    <w:rsid w:val="00362BF5"/>
    <w:rsid w:val="003A1057"/>
    <w:rsid w:val="003E6AC9"/>
    <w:rsid w:val="003F0CD4"/>
    <w:rsid w:val="004B37D2"/>
    <w:rsid w:val="004C3D87"/>
    <w:rsid w:val="005146A0"/>
    <w:rsid w:val="00531DB4"/>
    <w:rsid w:val="005D3B66"/>
    <w:rsid w:val="005E6394"/>
    <w:rsid w:val="00654146"/>
    <w:rsid w:val="007719F7"/>
    <w:rsid w:val="0078532A"/>
    <w:rsid w:val="007B4B6D"/>
    <w:rsid w:val="008657A7"/>
    <w:rsid w:val="00941C62"/>
    <w:rsid w:val="00AB260B"/>
    <w:rsid w:val="00AE6598"/>
    <w:rsid w:val="00B501CD"/>
    <w:rsid w:val="00C06333"/>
    <w:rsid w:val="00C17048"/>
    <w:rsid w:val="00C527F9"/>
    <w:rsid w:val="00C54667"/>
    <w:rsid w:val="00C85677"/>
    <w:rsid w:val="00CE134D"/>
    <w:rsid w:val="00E15979"/>
    <w:rsid w:val="00EB060F"/>
    <w:rsid w:val="00F977E2"/>
    <w:rsid w:val="00FA0344"/>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ECAFF6"/>
  <w15:chartTrackingRefBased/>
  <w15:docId w15:val="{47B0F883-03C1-46C7-A1B9-0F21FF0FEB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Markeringsbobletekst">
    <w:name w:val="Balloon Text"/>
    <w:basedOn w:val="Normal"/>
    <w:link w:val="MarkeringsbobletekstTegn"/>
    <w:uiPriority w:val="99"/>
    <w:semiHidden/>
    <w:unhideWhenUsed/>
    <w:rsid w:val="003F0CD4"/>
    <w:pPr>
      <w:spacing w:after="0" w:line="240" w:lineRule="auto"/>
    </w:pPr>
    <w:rPr>
      <w:rFonts w:ascii="Segoe UI" w:hAnsi="Segoe UI" w:cs="Segoe UI"/>
      <w:sz w:val="18"/>
      <w:szCs w:val="18"/>
    </w:rPr>
  </w:style>
  <w:style w:type="character" w:customStyle="1" w:styleId="MarkeringsbobletekstTegn">
    <w:name w:val="Markeringsbobletekst Tegn"/>
    <w:basedOn w:val="Standardskrifttypeiafsnit"/>
    <w:link w:val="Markeringsbobletekst"/>
    <w:uiPriority w:val="99"/>
    <w:semiHidden/>
    <w:rsid w:val="003F0CD4"/>
    <w:rPr>
      <w:rFonts w:ascii="Segoe UI" w:hAnsi="Segoe UI" w:cs="Segoe UI"/>
      <w:sz w:val="18"/>
      <w:szCs w:val="18"/>
    </w:rPr>
  </w:style>
  <w:style w:type="paragraph" w:styleId="Listeafsnit">
    <w:name w:val="List Paragraph"/>
    <w:basedOn w:val="Normal"/>
    <w:uiPriority w:val="34"/>
    <w:qFormat/>
    <w:rsid w:val="00EB060F"/>
    <w:pPr>
      <w:ind w:left="720"/>
      <w:contextualSpacing/>
    </w:pPr>
  </w:style>
  <w:style w:type="paragraph" w:styleId="NormalWeb">
    <w:name w:val="Normal (Web)"/>
    <w:basedOn w:val="Normal"/>
    <w:uiPriority w:val="99"/>
    <w:unhideWhenUsed/>
    <w:rsid w:val="00E15979"/>
    <w:pPr>
      <w:spacing w:before="100" w:beforeAutospacing="1" w:after="100" w:afterAutospacing="1" w:line="240" w:lineRule="auto"/>
    </w:pPr>
    <w:rPr>
      <w:rFonts w:ascii="Times New Roman" w:eastAsia="Times New Roman" w:hAnsi="Times New Roman" w:cs="Times New Roman"/>
      <w:sz w:val="24"/>
      <w:szCs w:val="24"/>
      <w:lang w:eastAsia="da-D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813085">
      <w:bodyDiv w:val="1"/>
      <w:marLeft w:val="0"/>
      <w:marRight w:val="0"/>
      <w:marTop w:val="0"/>
      <w:marBottom w:val="0"/>
      <w:divBdr>
        <w:top w:val="none" w:sz="0" w:space="0" w:color="auto"/>
        <w:left w:val="none" w:sz="0" w:space="0" w:color="auto"/>
        <w:bottom w:val="none" w:sz="0" w:space="0" w:color="auto"/>
        <w:right w:val="none" w:sz="0" w:space="0" w:color="auto"/>
      </w:divBdr>
    </w:div>
    <w:div w:id="240910658">
      <w:bodyDiv w:val="1"/>
      <w:marLeft w:val="0"/>
      <w:marRight w:val="0"/>
      <w:marTop w:val="0"/>
      <w:marBottom w:val="0"/>
      <w:divBdr>
        <w:top w:val="none" w:sz="0" w:space="0" w:color="auto"/>
        <w:left w:val="none" w:sz="0" w:space="0" w:color="auto"/>
        <w:bottom w:val="none" w:sz="0" w:space="0" w:color="auto"/>
        <w:right w:val="none" w:sz="0" w:space="0" w:color="auto"/>
      </w:divBdr>
    </w:div>
    <w:div w:id="372268807">
      <w:bodyDiv w:val="1"/>
      <w:marLeft w:val="0"/>
      <w:marRight w:val="0"/>
      <w:marTop w:val="0"/>
      <w:marBottom w:val="0"/>
      <w:divBdr>
        <w:top w:val="none" w:sz="0" w:space="0" w:color="auto"/>
        <w:left w:val="none" w:sz="0" w:space="0" w:color="auto"/>
        <w:bottom w:val="none" w:sz="0" w:space="0" w:color="auto"/>
        <w:right w:val="none" w:sz="0" w:space="0" w:color="auto"/>
      </w:divBdr>
    </w:div>
    <w:div w:id="691762305">
      <w:bodyDiv w:val="1"/>
      <w:marLeft w:val="0"/>
      <w:marRight w:val="0"/>
      <w:marTop w:val="0"/>
      <w:marBottom w:val="0"/>
      <w:divBdr>
        <w:top w:val="none" w:sz="0" w:space="0" w:color="auto"/>
        <w:left w:val="none" w:sz="0" w:space="0" w:color="auto"/>
        <w:bottom w:val="none" w:sz="0" w:space="0" w:color="auto"/>
        <w:right w:val="none" w:sz="0" w:space="0" w:color="auto"/>
      </w:divBdr>
    </w:div>
    <w:div w:id="1198157074">
      <w:bodyDiv w:val="1"/>
      <w:marLeft w:val="0"/>
      <w:marRight w:val="0"/>
      <w:marTop w:val="0"/>
      <w:marBottom w:val="0"/>
      <w:divBdr>
        <w:top w:val="none" w:sz="0" w:space="0" w:color="auto"/>
        <w:left w:val="none" w:sz="0" w:space="0" w:color="auto"/>
        <w:bottom w:val="none" w:sz="0" w:space="0" w:color="auto"/>
        <w:right w:val="none" w:sz="0" w:space="0" w:color="auto"/>
      </w:divBdr>
    </w:div>
    <w:div w:id="1578591988">
      <w:bodyDiv w:val="1"/>
      <w:marLeft w:val="0"/>
      <w:marRight w:val="0"/>
      <w:marTop w:val="0"/>
      <w:marBottom w:val="0"/>
      <w:divBdr>
        <w:top w:val="none" w:sz="0" w:space="0" w:color="auto"/>
        <w:left w:val="none" w:sz="0" w:space="0" w:color="auto"/>
        <w:bottom w:val="none" w:sz="0" w:space="0" w:color="auto"/>
        <w:right w:val="none" w:sz="0" w:space="0" w:color="auto"/>
      </w:divBdr>
    </w:div>
    <w:div w:id="1587225263">
      <w:bodyDiv w:val="1"/>
      <w:marLeft w:val="0"/>
      <w:marRight w:val="0"/>
      <w:marTop w:val="0"/>
      <w:marBottom w:val="0"/>
      <w:divBdr>
        <w:top w:val="none" w:sz="0" w:space="0" w:color="auto"/>
        <w:left w:val="none" w:sz="0" w:space="0" w:color="auto"/>
        <w:bottom w:val="none" w:sz="0" w:space="0" w:color="auto"/>
        <w:right w:val="none" w:sz="0" w:space="0" w:color="auto"/>
      </w:divBdr>
    </w:div>
    <w:div w:id="1620061335">
      <w:bodyDiv w:val="1"/>
      <w:marLeft w:val="0"/>
      <w:marRight w:val="0"/>
      <w:marTop w:val="0"/>
      <w:marBottom w:val="0"/>
      <w:divBdr>
        <w:top w:val="none" w:sz="0" w:space="0" w:color="auto"/>
        <w:left w:val="none" w:sz="0" w:space="0" w:color="auto"/>
        <w:bottom w:val="none" w:sz="0" w:space="0" w:color="auto"/>
        <w:right w:val="none" w:sz="0" w:space="0" w:color="auto"/>
      </w:divBdr>
    </w:div>
    <w:div w:id="1694066338">
      <w:bodyDiv w:val="1"/>
      <w:marLeft w:val="0"/>
      <w:marRight w:val="0"/>
      <w:marTop w:val="0"/>
      <w:marBottom w:val="0"/>
      <w:divBdr>
        <w:top w:val="none" w:sz="0" w:space="0" w:color="auto"/>
        <w:left w:val="none" w:sz="0" w:space="0" w:color="auto"/>
        <w:bottom w:val="none" w:sz="0" w:space="0" w:color="auto"/>
        <w:right w:val="none" w:sz="0" w:space="0" w:color="auto"/>
      </w:divBdr>
    </w:div>
    <w:div w:id="1947930114">
      <w:bodyDiv w:val="1"/>
      <w:marLeft w:val="0"/>
      <w:marRight w:val="0"/>
      <w:marTop w:val="0"/>
      <w:marBottom w:val="0"/>
      <w:divBdr>
        <w:top w:val="none" w:sz="0" w:space="0" w:color="auto"/>
        <w:left w:val="none" w:sz="0" w:space="0" w:color="auto"/>
        <w:bottom w:val="none" w:sz="0" w:space="0" w:color="auto"/>
        <w:right w:val="none" w:sz="0" w:space="0" w:color="auto"/>
      </w:divBdr>
    </w:div>
    <w:div w:id="20326074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fontTable" Target="fontTable.xml"/></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ont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A2395BE-9BD9-4CC2-9765-89EF2A0038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11</Pages>
  <Words>2657</Words>
  <Characters>16210</Characters>
  <Application>Microsoft Office Word</Application>
  <DocSecurity>0</DocSecurity>
  <Lines>135</Lines>
  <Paragraphs>37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18830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Jeppe Følner</dc:creator>
  <cp:keywords/>
  <dc:description/>
  <cp:lastModifiedBy>Jeppe Følner</cp:lastModifiedBy>
  <cp:revision>4</cp:revision>
  <cp:lastPrinted>2018-01-14T21:45:00Z</cp:lastPrinted>
  <dcterms:created xsi:type="dcterms:W3CDTF">2018-01-15T21:46:00Z</dcterms:created>
  <dcterms:modified xsi:type="dcterms:W3CDTF">2018-01-19T11:38:00Z</dcterms:modified>
</cp:coreProperties>
</file>