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414B" w:rsidRPr="00086DF9" w:rsidRDefault="00086DF9">
      <w:pPr>
        <w:rPr>
          <w:b/>
          <w:color w:val="0070C0"/>
          <w:sz w:val="32"/>
        </w:rPr>
      </w:pPr>
      <w:r w:rsidRPr="00086DF9">
        <w:rPr>
          <w:b/>
          <w:noProof/>
          <w:color w:val="0070C0"/>
          <w:sz w:val="32"/>
        </w:rPr>
        <mc:AlternateContent>
          <mc:Choice Requires="wps">
            <w:drawing>
              <wp:anchor distT="45720" distB="45720" distL="114300" distR="114300" simplePos="0" relativeHeight="251659264" behindDoc="0" locked="0" layoutInCell="1" allowOverlap="1">
                <wp:simplePos x="0" y="0"/>
                <wp:positionH relativeFrom="margin">
                  <wp:align>left</wp:align>
                </wp:positionH>
                <wp:positionV relativeFrom="paragraph">
                  <wp:posOffset>183515</wp:posOffset>
                </wp:positionV>
                <wp:extent cx="6184900" cy="419100"/>
                <wp:effectExtent l="57150" t="38100" r="63500" b="76200"/>
                <wp:wrapSquare wrapText="bothSides"/>
                <wp:docPr id="21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4900" cy="419100"/>
                        </a:xfrm>
                        <a:prstGeom prst="rect">
                          <a:avLst/>
                        </a:prstGeom>
                        <a:ln>
                          <a:headEnd/>
                          <a:tailEnd/>
                        </a:ln>
                      </wps:spPr>
                      <wps:style>
                        <a:lnRef idx="0">
                          <a:schemeClr val="accent1"/>
                        </a:lnRef>
                        <a:fillRef idx="3">
                          <a:schemeClr val="accent1"/>
                        </a:fillRef>
                        <a:effectRef idx="3">
                          <a:schemeClr val="accent1"/>
                        </a:effectRef>
                        <a:fontRef idx="minor">
                          <a:schemeClr val="lt1"/>
                        </a:fontRef>
                      </wps:style>
                      <wps:txbx>
                        <w:txbxContent>
                          <w:p w:rsidR="00086DF9" w:rsidRPr="00086DF9" w:rsidRDefault="00086DF9" w:rsidP="00086DF9">
                            <w:pPr>
                              <w:jc w:val="center"/>
                              <w:rPr>
                                <w:b/>
                                <w:outline/>
                                <w:color w:val="5B9BD5" w:themeColor="accent5"/>
                                <w:sz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Pr>
                                <w:b/>
                                <w:outline/>
                                <w:color w:val="5B9BD5" w:themeColor="accent5"/>
                                <w:sz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Generelanæstesi (gasanæstesi)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felt 2" o:spid="_x0000_s1026" type="#_x0000_t202" style="position:absolute;margin-left:0;margin-top:14.45pt;width:487pt;height:33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" fillcolor="#4f7ac7 [3028]" stroked="f">
                <v:fill color2="#416fc3 [3172]" rotate="t" colors="0 #6083cb;.5 #3e70ca;1 #2e61ba" focus="100%" type="gradient">
                  <o:fill v:ext="view" type="gradientUnscaled"/>
                </v:fill>
                <v:shadow on="t" color="black" opacity="41287f" offset="0,1.5pt"/>
                <v:textbox>
                  <w:txbxContent>
                    <w:p w:rsidR="00086DF9" w:rsidRPr="00086DF9" w:rsidRDefault="00086DF9" w:rsidP="00086DF9">
                      <w:pPr>
                        <w:jc w:val="center"/>
                        <w:rPr>
                          <w:b/>
                          <w:outline/>
                          <w:color w:val="5B9BD5" w:themeColor="accent5"/>
                          <w:sz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Pr>
                          <w:b/>
                          <w:outline/>
                          <w:color w:val="5B9BD5" w:themeColor="accent5"/>
                          <w:sz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Generelanæstesi (gasanæstesi)</w:t>
                      </w:r>
                    </w:p>
                  </w:txbxContent>
                </v:textbox>
                <w10:wrap type="square" anchorx="margin"/>
              </v:shape>
            </w:pict>
          </mc:Fallback>
        </mc:AlternateContent>
      </w:r>
      <w:r w:rsidR="00E57F17">
        <w:rPr>
          <w:b/>
          <w:color w:val="0070C0"/>
          <w:sz w:val="32"/>
        </w:rPr>
        <w:t>Overordnet</w:t>
      </w:r>
      <w:r w:rsidR="00014072">
        <w:rPr>
          <w:b/>
          <w:color w:val="0070C0"/>
          <w:sz w:val="32"/>
        </w:rPr>
        <w:br/>
      </w:r>
      <w:r w:rsidR="00014072" w:rsidRPr="00014072">
        <w:rPr>
          <w:b/>
        </w:rPr>
        <w:t>Definition</w:t>
      </w:r>
      <w:r w:rsidR="00014072" w:rsidRPr="00014072">
        <w:rPr>
          <w:b/>
        </w:rPr>
        <w:br/>
      </w:r>
      <w:r w:rsidR="00014072" w:rsidRPr="00014072">
        <w:t>Generel anæstesi er synonymt med fuld narkose</w:t>
      </w:r>
      <w:r w:rsidR="008D7B13">
        <w:t xml:space="preserve"> og fuld </w:t>
      </w:r>
      <w:r w:rsidR="00014072" w:rsidRPr="00014072">
        <w:t xml:space="preserve">bedøvelse. </w:t>
      </w:r>
      <w:r w:rsidR="00014072" w:rsidRPr="00014072">
        <w:br/>
      </w:r>
      <w:r w:rsidR="00014072">
        <w:t xml:space="preserve">Den </w:t>
      </w:r>
      <w:r w:rsidR="00014072">
        <w:rPr>
          <w:i/>
        </w:rPr>
        <w:t xml:space="preserve">reversible </w:t>
      </w:r>
      <w:r w:rsidR="00014072">
        <w:t xml:space="preserve">tilstand </w:t>
      </w:r>
      <w:r w:rsidR="00014072" w:rsidRPr="00014072">
        <w:t>er forbundet med</w:t>
      </w:r>
    </w:p>
    <w:p w:rsidR="00014072" w:rsidRDefault="00014072" w:rsidP="00014072">
      <w:pPr>
        <w:pStyle w:val="Listeafsnit"/>
        <w:numPr>
          <w:ilvl w:val="0"/>
          <w:numId w:val="1"/>
        </w:numPr>
      </w:pPr>
      <w:r>
        <w:t>Bevidsthedssuspension</w:t>
      </w:r>
      <w:r w:rsidRPr="00014072">
        <w:rPr>
          <w:sz w:val="20"/>
        </w:rPr>
        <w:t xml:space="preserve"> </w:t>
      </w:r>
      <w:r>
        <w:t>(søvn</w:t>
      </w:r>
      <w:r w:rsidR="00617D56">
        <w:t>)</w:t>
      </w:r>
    </w:p>
    <w:p w:rsidR="00014072" w:rsidRPr="00014072" w:rsidRDefault="00014072" w:rsidP="00014072">
      <w:pPr>
        <w:pStyle w:val="Listeafsnit"/>
        <w:numPr>
          <w:ilvl w:val="0"/>
          <w:numId w:val="1"/>
        </w:numPr>
      </w:pPr>
      <w:r>
        <w:t>Analgesi (smertefrihed)</w:t>
      </w:r>
    </w:p>
    <w:p w:rsidR="00014072" w:rsidRDefault="00014072" w:rsidP="00014072">
      <w:pPr>
        <w:pStyle w:val="Listeafsnit"/>
        <w:numPr>
          <w:ilvl w:val="0"/>
          <w:numId w:val="1"/>
        </w:numPr>
      </w:pPr>
      <w:r w:rsidRPr="00014072">
        <w:t xml:space="preserve">Amnesi </w:t>
      </w:r>
      <w:r>
        <w:t>(</w:t>
      </w:r>
      <w:proofErr w:type="spellStart"/>
      <w:r>
        <w:t>hukommelstab</w:t>
      </w:r>
      <w:proofErr w:type="spellEnd"/>
      <w:r>
        <w:t>)</w:t>
      </w:r>
    </w:p>
    <w:p w:rsidR="00014072" w:rsidRDefault="00014072" w:rsidP="00014072">
      <w:pPr>
        <w:pStyle w:val="Listeafsnit"/>
        <w:numPr>
          <w:ilvl w:val="0"/>
          <w:numId w:val="1"/>
        </w:numPr>
      </w:pPr>
      <w:r>
        <w:t>Immobilitet (tab af reflekser)</w:t>
      </w:r>
    </w:p>
    <w:p w:rsidR="008F352A" w:rsidRDefault="00014072" w:rsidP="008F352A">
      <w:pPr>
        <w:pStyle w:val="Listeafsnit"/>
        <w:numPr>
          <w:ilvl w:val="0"/>
          <w:numId w:val="1"/>
        </w:numPr>
      </w:pPr>
      <w:r>
        <w:t>Paralyse (skeletmuskel-</w:t>
      </w:r>
      <w:r w:rsidR="00E35920">
        <w:t>afslapning</w:t>
      </w:r>
      <w:r>
        <w:t xml:space="preserve">) </w:t>
      </w:r>
    </w:p>
    <w:p w:rsidR="008F352A" w:rsidRDefault="008F352A" w:rsidP="008F352A">
      <w:r w:rsidRPr="008F352A">
        <w:rPr>
          <w:b/>
        </w:rPr>
        <w:t>Koncentrations-effekt-kurve</w:t>
      </w:r>
      <w:r w:rsidRPr="008F352A">
        <w:rPr>
          <w:b/>
        </w:rPr>
        <w:br/>
      </w:r>
      <w:proofErr w:type="spellStart"/>
      <w:r>
        <w:t>Generelanæstetikas</w:t>
      </w:r>
      <w:proofErr w:type="spellEnd"/>
      <w:r>
        <w:t xml:space="preserve"> koncentrations-effekt-kurve kendetegnes ved en graf der med et lille koncentrationsinterval pludseligt stiger voldsomt. Dette skyldes at patienten bevæger sig fra en tilstand af bevidsthed til en tilstand af bevidsthedstab i en relativt brat overgang.  </w:t>
      </w:r>
      <w:r>
        <w:br/>
        <w:t xml:space="preserve">Denne slags pludselige overgang (og dermed stejle koncentrations-effekt-kurve) er farmakologisk atypisk. </w:t>
      </w:r>
    </w:p>
    <w:p w:rsidR="008D7B13" w:rsidRDefault="008D7B13" w:rsidP="008D7B13">
      <w:r>
        <w:rPr>
          <w:b/>
        </w:rPr>
        <w:t>Administration</w:t>
      </w:r>
      <w:r>
        <w:rPr>
          <w:b/>
        </w:rPr>
        <w:br/>
      </w:r>
      <w:r>
        <w:t xml:space="preserve">Generel anæstesi optages </w:t>
      </w:r>
      <w:r w:rsidR="00D87ECA">
        <w:t>med få undtagelser</w:t>
      </w:r>
      <w:r>
        <w:t xml:space="preserve"> ved</w:t>
      </w:r>
    </w:p>
    <w:p w:rsidR="008F352A" w:rsidRDefault="008F352A" w:rsidP="008F352A">
      <w:pPr>
        <w:pStyle w:val="Listeafsnit"/>
        <w:numPr>
          <w:ilvl w:val="0"/>
          <w:numId w:val="10"/>
        </w:numPr>
      </w:pPr>
      <w:r>
        <w:t>Intravenøs injektion</w:t>
      </w:r>
    </w:p>
    <w:p w:rsidR="004D5C48" w:rsidRDefault="004D5C48" w:rsidP="004D5C48">
      <w:pPr>
        <w:pStyle w:val="Listeafsnit"/>
        <w:numPr>
          <w:ilvl w:val="0"/>
          <w:numId w:val="13"/>
        </w:numPr>
      </w:pPr>
      <w:r>
        <w:t>Herunder opioider</w:t>
      </w:r>
      <w:r w:rsidR="0015330B">
        <w:t xml:space="preserve"> (se emne)</w:t>
      </w:r>
    </w:p>
    <w:p w:rsidR="008F352A" w:rsidRDefault="008F352A" w:rsidP="008F352A">
      <w:pPr>
        <w:pStyle w:val="Listeafsnit"/>
        <w:numPr>
          <w:ilvl w:val="0"/>
          <w:numId w:val="10"/>
        </w:numPr>
      </w:pPr>
      <w:r>
        <w:t>Inhalation</w:t>
      </w:r>
      <w:r w:rsidR="004D5C48">
        <w:t xml:space="preserve"> (gasanæstesi)</w:t>
      </w:r>
    </w:p>
    <w:p w:rsidR="004D5C48" w:rsidRDefault="004D5C48" w:rsidP="004D5C48">
      <w:pPr>
        <w:pStyle w:val="Listeafsnit"/>
        <w:numPr>
          <w:ilvl w:val="0"/>
          <w:numId w:val="13"/>
        </w:numPr>
      </w:pPr>
      <w:r>
        <w:t xml:space="preserve">Herunder </w:t>
      </w:r>
      <w:proofErr w:type="spellStart"/>
      <w:r>
        <w:t>volatile</w:t>
      </w:r>
      <w:proofErr w:type="spellEnd"/>
      <w:r>
        <w:t xml:space="preserve"> fordampningsvæsker og lattergas (dinitrogenoxid/</w:t>
      </w:r>
      <w:proofErr w:type="spellStart"/>
      <w:r>
        <w:t>kvælstofforilte</w:t>
      </w:r>
      <w:proofErr w:type="spellEnd"/>
      <w:r>
        <w:t>)</w:t>
      </w:r>
    </w:p>
    <w:p w:rsidR="00D87ECA" w:rsidRDefault="005649F0" w:rsidP="005F2E3C">
      <w:r w:rsidRPr="00D87ECA">
        <w:rPr>
          <w:b/>
        </w:rPr>
        <w:t>Virkningsmekanisme</w:t>
      </w:r>
      <w:r w:rsidR="00A60074">
        <w:rPr>
          <w:b/>
        </w:rPr>
        <w:t xml:space="preserve"> (jf. bogen)</w:t>
      </w:r>
      <w:r>
        <w:rPr>
          <w:u w:val="single"/>
        </w:rPr>
        <w:br/>
      </w:r>
      <w:r>
        <w:t xml:space="preserve">Virkningsmekanismen </w:t>
      </w:r>
      <w:r w:rsidR="00E35920">
        <w:t xml:space="preserve">for </w:t>
      </w:r>
      <w:r w:rsidR="004B578B">
        <w:t>g</w:t>
      </w:r>
      <w:r w:rsidR="00D87ECA">
        <w:t xml:space="preserve">enerel </w:t>
      </w:r>
      <w:r w:rsidR="00E35920">
        <w:t xml:space="preserve">anæstetika </w:t>
      </w:r>
      <w:r w:rsidR="004B578B">
        <w:t xml:space="preserve">er kun delvist klarlagt. </w:t>
      </w:r>
      <w:r w:rsidR="004B578B">
        <w:br/>
      </w:r>
      <w:r w:rsidR="004B578B">
        <w:br/>
      </w:r>
      <w:r w:rsidR="004B578B" w:rsidRPr="00D87ECA">
        <w:rPr>
          <w:u w:val="single"/>
        </w:rPr>
        <w:t>Lipidopløselighed</w:t>
      </w:r>
      <w:r w:rsidR="004B578B">
        <w:br/>
        <w:t xml:space="preserve">Det er påvist at der findes en </w:t>
      </w:r>
      <w:r w:rsidR="003260C5">
        <w:t xml:space="preserve">direkte </w:t>
      </w:r>
      <w:r w:rsidR="004B578B">
        <w:t xml:space="preserve">korrelation mellem lipidopløseligheden af generelanæstetisk farmaka og potensen af samme. Korrelationen skyldes (som minimum primært) at de generelanæstetiske molekyler binder til </w:t>
      </w:r>
      <w:r w:rsidR="004B578B" w:rsidRPr="00E57F17">
        <w:rPr>
          <w:i/>
        </w:rPr>
        <w:t>hydrofobe</w:t>
      </w:r>
      <w:r w:rsidR="004B578B">
        <w:t xml:space="preserve"> lommer i specifikke membranproteiner (dvs. hydrofobe aminosyresekvenser i den proteinernes tertiære struktur) – herunder ionkanaler. </w:t>
      </w:r>
      <w:r w:rsidR="00E57F17">
        <w:t>Gennem disse hydrofobe lommer udøver de deres anæstetiske effekt</w:t>
      </w:r>
      <w:r w:rsidR="003260C5">
        <w:t>:</w:t>
      </w:r>
      <w:r w:rsidR="007F4417">
        <w:t xml:space="preserve"> </w:t>
      </w:r>
      <w:r w:rsidR="004B578B">
        <w:br/>
      </w:r>
      <w:r w:rsidR="004B578B">
        <w:br/>
      </w:r>
      <w:r w:rsidR="00D87ECA" w:rsidRPr="00D87ECA">
        <w:rPr>
          <w:u w:val="single"/>
        </w:rPr>
        <w:t>Ion-kanal-påvirkning</w:t>
      </w:r>
    </w:p>
    <w:p w:rsidR="00754406" w:rsidRPr="00754406" w:rsidRDefault="00D87ECA" w:rsidP="00754406">
      <w:pPr>
        <w:pStyle w:val="Listeafsnit"/>
        <w:numPr>
          <w:ilvl w:val="0"/>
          <w:numId w:val="7"/>
        </w:numPr>
      </w:pPr>
      <w:r>
        <w:rPr>
          <w:i/>
        </w:rPr>
        <w:t>GABA</w:t>
      </w:r>
      <w:r>
        <w:rPr>
          <w:i/>
          <w:vertAlign w:val="subscript"/>
        </w:rPr>
        <w:t>A</w:t>
      </w:r>
      <w:r>
        <w:rPr>
          <w:i/>
        </w:rPr>
        <w:t>-receptorer</w:t>
      </w:r>
      <w:r w:rsidR="00985557">
        <w:rPr>
          <w:i/>
        </w:rPr>
        <w:t xml:space="preserve"> (øg</w:t>
      </w:r>
      <w:r w:rsidR="0078218E">
        <w:rPr>
          <w:i/>
        </w:rPr>
        <w:t>ning af</w:t>
      </w:r>
      <w:r w:rsidR="00985557">
        <w:rPr>
          <w:i/>
        </w:rPr>
        <w:t xml:space="preserve"> en hæmmer)</w:t>
      </w:r>
    </w:p>
    <w:p w:rsidR="00754406" w:rsidRDefault="00754406" w:rsidP="00754406">
      <w:pPr>
        <w:pStyle w:val="Listeafsnit"/>
      </w:pPr>
      <w:r>
        <w:t xml:space="preserve">Næsten alle generelanæstetiske farmaka forstærker neurotransmitteren </w:t>
      </w:r>
      <w:proofErr w:type="spellStart"/>
      <w:r>
        <w:t>GABA’s</w:t>
      </w:r>
      <w:proofErr w:type="spellEnd"/>
      <w:r>
        <w:t xml:space="preserve"> virkning på GABA</w:t>
      </w:r>
      <w:r>
        <w:rPr>
          <w:vertAlign w:val="subscript"/>
        </w:rPr>
        <w:t>A</w:t>
      </w:r>
      <w:r>
        <w:t>-receptorer</w:t>
      </w:r>
      <w:r w:rsidR="00A60074">
        <w:t>,</w:t>
      </w:r>
      <w:r>
        <w:t xml:space="preserve"> hvormed de nedsætter neuronexcitabilitet. </w:t>
      </w:r>
    </w:p>
    <w:p w:rsidR="00754406" w:rsidRPr="001D7E84" w:rsidRDefault="00754406" w:rsidP="00754406">
      <w:pPr>
        <w:pStyle w:val="Listeafsnit"/>
      </w:pPr>
      <w:r>
        <w:br/>
      </w:r>
      <w:r w:rsidRPr="00A60074">
        <w:rPr>
          <w:u w:val="single"/>
        </w:rPr>
        <w:t>Gasanæstetika</w:t>
      </w:r>
      <w:r>
        <w:t xml:space="preserve"> </w:t>
      </w:r>
      <w:r w:rsidR="00A60074">
        <w:br/>
        <w:t>B</w:t>
      </w:r>
      <w:r>
        <w:t xml:space="preserve">inder til både </w:t>
      </w:r>
      <w:r>
        <w:rPr>
          <w:rFonts w:cstheme="minorHAnsi"/>
        </w:rPr>
        <w:t>α</w:t>
      </w:r>
      <w:r>
        <w:t xml:space="preserve">- og </w:t>
      </w:r>
      <w:r>
        <w:rPr>
          <w:rFonts w:cstheme="minorHAnsi"/>
        </w:rPr>
        <w:t>β</w:t>
      </w:r>
      <w:r>
        <w:t>-subunit på GABA</w:t>
      </w:r>
      <w:r>
        <w:rPr>
          <w:vertAlign w:val="subscript"/>
        </w:rPr>
        <w:t>A</w:t>
      </w:r>
      <w:r>
        <w:t>-receptor</w:t>
      </w:r>
      <w:r w:rsidR="001D7E84">
        <w:t xml:space="preserve"> (N</w:t>
      </w:r>
      <w:r w:rsidR="001D7E84">
        <w:rPr>
          <w:vertAlign w:val="subscript"/>
        </w:rPr>
        <w:t>2</w:t>
      </w:r>
      <w:r w:rsidR="001D7E84">
        <w:t xml:space="preserve">O </w:t>
      </w:r>
      <w:r w:rsidR="0015330B">
        <w:t>har dog</w:t>
      </w:r>
      <w:r w:rsidR="001D7E84">
        <w:t xml:space="preserve"> ingen effekt herpå!)</w:t>
      </w:r>
    </w:p>
    <w:p w:rsidR="00754406" w:rsidRDefault="00A60074" w:rsidP="00754406">
      <w:pPr>
        <w:pStyle w:val="Listeafsnit"/>
      </w:pPr>
      <w:r>
        <w:rPr>
          <w:u w:val="single"/>
        </w:rPr>
        <w:lastRenderedPageBreak/>
        <w:br/>
      </w:r>
      <w:r w:rsidR="00754406" w:rsidRPr="00A60074">
        <w:rPr>
          <w:u w:val="single"/>
        </w:rPr>
        <w:t>IV-anæstetika</w:t>
      </w:r>
      <w:r>
        <w:br/>
        <w:t>B</w:t>
      </w:r>
      <w:r w:rsidR="00754406">
        <w:t xml:space="preserve">inder kun til </w:t>
      </w:r>
      <w:r w:rsidR="00754406">
        <w:rPr>
          <w:rFonts w:cstheme="minorHAnsi"/>
        </w:rPr>
        <w:t>β</w:t>
      </w:r>
      <w:r w:rsidR="00754406">
        <w:t>-subunit på GABA</w:t>
      </w:r>
      <w:r w:rsidR="00754406">
        <w:rPr>
          <w:vertAlign w:val="subscript"/>
        </w:rPr>
        <w:t>A</w:t>
      </w:r>
      <w:r w:rsidR="00754406">
        <w:t>-receptor</w:t>
      </w:r>
    </w:p>
    <w:p w:rsidR="00754406" w:rsidRDefault="00754406" w:rsidP="00754406">
      <w:pPr>
        <w:pStyle w:val="Listeafsnit"/>
      </w:pPr>
    </w:p>
    <w:p w:rsidR="00A60074" w:rsidRDefault="00754406" w:rsidP="00754406">
      <w:pPr>
        <w:pStyle w:val="Listeafsnit"/>
        <w:numPr>
          <w:ilvl w:val="0"/>
          <w:numId w:val="7"/>
        </w:numPr>
      </w:pPr>
      <w:r>
        <w:rPr>
          <w:i/>
        </w:rPr>
        <w:t>Dobbeltporede K</w:t>
      </w:r>
      <w:r>
        <w:rPr>
          <w:i/>
          <w:vertAlign w:val="superscript"/>
        </w:rPr>
        <w:t>+</w:t>
      </w:r>
      <w:r>
        <w:rPr>
          <w:i/>
        </w:rPr>
        <w:t>-kanaler</w:t>
      </w:r>
      <w:r w:rsidR="00985557">
        <w:rPr>
          <w:i/>
        </w:rPr>
        <w:t xml:space="preserve"> (øg</w:t>
      </w:r>
      <w:r w:rsidR="0078218E">
        <w:rPr>
          <w:i/>
        </w:rPr>
        <w:t>ning af</w:t>
      </w:r>
      <w:r w:rsidR="00985557">
        <w:rPr>
          <w:i/>
        </w:rPr>
        <w:t xml:space="preserve"> en hæmmer)</w:t>
      </w:r>
      <w:r w:rsidR="00A60074">
        <w:rPr>
          <w:i/>
        </w:rPr>
        <w:br/>
      </w:r>
      <w:r w:rsidR="00A60074">
        <w:t>Aktiveres ved relativt lave koncentrationer og reducerer neuronexcitabilitet</w:t>
      </w:r>
      <w:r w:rsidR="00E57F17">
        <w:t xml:space="preserve"> (</w:t>
      </w:r>
      <w:r w:rsidR="00A60074">
        <w:t>K</w:t>
      </w:r>
      <w:r w:rsidR="00A60074">
        <w:rPr>
          <w:vertAlign w:val="superscript"/>
        </w:rPr>
        <w:t>+</w:t>
      </w:r>
      <w:r w:rsidR="00A60074">
        <w:t xml:space="preserve">’s ligevægtspotential er mere negativt end </w:t>
      </w:r>
      <w:r w:rsidR="00985557">
        <w:t>hvilemembranpotentialet</w:t>
      </w:r>
      <w:r w:rsidR="00E57F17">
        <w:t xml:space="preserve"> hvorfor vi ved aktivering forårsager hyperpolarisering.)</w:t>
      </w:r>
      <w:r w:rsidR="00A60074">
        <w:br/>
      </w:r>
      <w:r w:rsidR="00A60074">
        <w:br/>
      </w:r>
      <w:r w:rsidR="00A60074">
        <w:rPr>
          <w:u w:val="single"/>
        </w:rPr>
        <w:t>Gasanæstetika</w:t>
      </w:r>
      <w:r w:rsidR="00A60074">
        <w:rPr>
          <w:u w:val="single"/>
        </w:rPr>
        <w:br/>
      </w:r>
      <w:r w:rsidR="00A60074">
        <w:t>Aktiverer dobbeltporede K</w:t>
      </w:r>
      <w:r w:rsidR="00A60074">
        <w:rPr>
          <w:vertAlign w:val="superscript"/>
        </w:rPr>
        <w:t>+</w:t>
      </w:r>
      <w:r w:rsidR="00A60074">
        <w:t>-kanaler</w:t>
      </w:r>
      <w:r w:rsidR="001D7E84">
        <w:t xml:space="preserve"> (N</w:t>
      </w:r>
      <w:r w:rsidR="001D7E84">
        <w:rPr>
          <w:vertAlign w:val="subscript"/>
        </w:rPr>
        <w:t>2</w:t>
      </w:r>
      <w:r w:rsidR="001D7E84">
        <w:t>O spiller</w:t>
      </w:r>
      <w:r w:rsidR="0015330B">
        <w:t xml:space="preserve"> dog</w:t>
      </w:r>
      <w:r w:rsidR="001D7E84">
        <w:t xml:space="preserve"> formentlig ingen rolle herpå)</w:t>
      </w:r>
      <w:r w:rsidR="00A60074">
        <w:br/>
      </w:r>
      <w:r w:rsidR="00A60074">
        <w:br/>
      </w:r>
      <w:r w:rsidR="00A60074" w:rsidRPr="00985557">
        <w:rPr>
          <w:strike/>
          <w:u w:val="single"/>
        </w:rPr>
        <w:t>IV-anæstetika</w:t>
      </w:r>
      <w:r w:rsidR="00A60074" w:rsidRPr="00985557">
        <w:rPr>
          <w:strike/>
          <w:u w:val="single"/>
        </w:rPr>
        <w:br/>
      </w:r>
      <w:r w:rsidR="00A60074" w:rsidRPr="00985557">
        <w:rPr>
          <w:strike/>
        </w:rPr>
        <w:t>Menes ikke at aktivere dobbeltporede K</w:t>
      </w:r>
      <w:r w:rsidR="00A60074" w:rsidRPr="00985557">
        <w:rPr>
          <w:strike/>
          <w:vertAlign w:val="superscript"/>
        </w:rPr>
        <w:t>+</w:t>
      </w:r>
      <w:r w:rsidR="00A60074" w:rsidRPr="00985557">
        <w:rPr>
          <w:strike/>
        </w:rPr>
        <w:t>-kanaler</w:t>
      </w:r>
      <w:r w:rsidR="00A60074">
        <w:br/>
      </w:r>
    </w:p>
    <w:p w:rsidR="00A60074" w:rsidRDefault="00A60074" w:rsidP="00754406">
      <w:pPr>
        <w:pStyle w:val="Listeafsnit"/>
        <w:numPr>
          <w:ilvl w:val="0"/>
          <w:numId w:val="7"/>
        </w:numPr>
        <w:rPr>
          <w:i/>
        </w:rPr>
      </w:pPr>
      <w:r w:rsidRPr="00A60074">
        <w:rPr>
          <w:i/>
        </w:rPr>
        <w:t>NMDA-receptorer</w:t>
      </w:r>
      <w:r w:rsidR="00985557">
        <w:rPr>
          <w:i/>
        </w:rPr>
        <w:t xml:space="preserve"> (hæm</w:t>
      </w:r>
      <w:r w:rsidR="0078218E">
        <w:rPr>
          <w:i/>
        </w:rPr>
        <w:t>ning af</w:t>
      </w:r>
      <w:r w:rsidR="00985557">
        <w:rPr>
          <w:i/>
        </w:rPr>
        <w:t xml:space="preserve"> en excitator) </w:t>
      </w:r>
    </w:p>
    <w:p w:rsidR="00A60074" w:rsidRDefault="00A60074" w:rsidP="00A60074">
      <w:pPr>
        <w:pStyle w:val="Listeafsnit"/>
      </w:pPr>
      <w:r>
        <w:t xml:space="preserve">Øger under normale forhold neuronexcitabiliteten under binding af glutamat. </w:t>
      </w:r>
      <w:r>
        <w:br/>
        <w:t>Ved hæmning nedsættes den NMDA-inducere</w:t>
      </w:r>
      <w:r w:rsidR="0015330B">
        <w:t>de</w:t>
      </w:r>
      <w:r>
        <w:t xml:space="preserve"> neuronrespons. </w:t>
      </w:r>
    </w:p>
    <w:p w:rsidR="00A60074" w:rsidRDefault="00A60074" w:rsidP="00A60074">
      <w:pPr>
        <w:pStyle w:val="Listeafsnit"/>
        <w:rPr>
          <w:i/>
        </w:rPr>
      </w:pPr>
    </w:p>
    <w:p w:rsidR="00A60074" w:rsidRPr="001D7E84" w:rsidRDefault="00A60074" w:rsidP="00A60074">
      <w:pPr>
        <w:pStyle w:val="Listeafsnit"/>
      </w:pPr>
      <w:r>
        <w:rPr>
          <w:u w:val="single"/>
        </w:rPr>
        <w:t>Gasanæstetika</w:t>
      </w:r>
      <w:r>
        <w:rPr>
          <w:u w:val="single"/>
        </w:rPr>
        <w:br/>
      </w:r>
      <w:r>
        <w:t xml:space="preserve">Inhiberer NMDA-receptorer </w:t>
      </w:r>
      <w:r w:rsidR="0015330B">
        <w:t>(</w:t>
      </w:r>
      <w:r>
        <w:t xml:space="preserve">bl.a. en vigtig egenskab for </w:t>
      </w:r>
      <w:r w:rsidR="001D7E84">
        <w:t>N</w:t>
      </w:r>
      <w:r w:rsidR="001D7E84">
        <w:rPr>
          <w:vertAlign w:val="subscript"/>
        </w:rPr>
        <w:t>2</w:t>
      </w:r>
      <w:r w:rsidR="001D7E84">
        <w:t>O!</w:t>
      </w:r>
      <w:r w:rsidR="0015330B">
        <w:t>)</w:t>
      </w:r>
    </w:p>
    <w:p w:rsidR="004D5C48" w:rsidRPr="004D5C48" w:rsidRDefault="00A60074" w:rsidP="004D5C48">
      <w:pPr>
        <w:pStyle w:val="Listeafsnit"/>
      </w:pPr>
      <w:r>
        <w:rPr>
          <w:u w:val="single"/>
        </w:rPr>
        <w:br/>
        <w:t>IV-anæstetika</w:t>
      </w:r>
      <w:r>
        <w:rPr>
          <w:u w:val="single"/>
        </w:rPr>
        <w:br/>
      </w:r>
      <w:r w:rsidR="00985557">
        <w:t xml:space="preserve">Inhiberer NMDA-receptorer </w:t>
      </w:r>
      <w:r w:rsidR="0015330B">
        <w:t>(</w:t>
      </w:r>
      <w:r w:rsidR="00985557">
        <w:t xml:space="preserve">bl.a. en vigtig egenskab for </w:t>
      </w:r>
      <w:proofErr w:type="spellStart"/>
      <w:r w:rsidR="00985557">
        <w:t>ketamin</w:t>
      </w:r>
      <w:proofErr w:type="spellEnd"/>
      <w:r w:rsidR="0015330B">
        <w:t>)</w:t>
      </w:r>
      <w:r w:rsidR="00985557">
        <w:t xml:space="preserve"> </w:t>
      </w:r>
    </w:p>
    <w:p w:rsidR="00E57F17" w:rsidRDefault="00E41625" w:rsidP="00985557">
      <w:r>
        <w:rPr>
          <w:b/>
        </w:rPr>
        <w:br/>
      </w:r>
      <w:r w:rsidR="004D5C48" w:rsidRPr="00E57F17">
        <w:rPr>
          <w:b/>
          <w:color w:val="0070C0"/>
          <w:sz w:val="32"/>
        </w:rPr>
        <w:t>Inhalationsanæstesi</w:t>
      </w:r>
      <w:r>
        <w:rPr>
          <w:b/>
        </w:rPr>
        <w:br/>
      </w:r>
      <w:proofErr w:type="spellStart"/>
      <w:r w:rsidR="006573DF">
        <w:t>Inhalationsanæstetika</w:t>
      </w:r>
      <w:proofErr w:type="spellEnd"/>
      <w:r w:rsidR="006573DF">
        <w:t xml:space="preserve"> består uanset type af små, lipidopløselige molekyler som let diffunderer over alveolærmembranen – det betyder, at molekylerne let bevæger sig fra lunger til blod og tilbage igen. </w:t>
      </w:r>
      <w:r w:rsidR="00E57F17">
        <w:t xml:space="preserve">Desuden er de i stand til at passere blod-hjerne-barrieren (BBB). </w:t>
      </w:r>
      <w:r>
        <w:rPr>
          <w:b/>
        </w:rPr>
        <w:br/>
      </w:r>
      <w:r w:rsidR="004D5C48">
        <w:rPr>
          <w:b/>
        </w:rPr>
        <w:br/>
      </w:r>
      <w:r w:rsidR="004D5C48" w:rsidRPr="00E57F17">
        <w:rPr>
          <w:b/>
        </w:rPr>
        <w:t>Potens</w:t>
      </w:r>
      <w:r w:rsidR="00E57F17">
        <w:rPr>
          <w:b/>
        </w:rPr>
        <w:t xml:space="preserve"> og MAC</w:t>
      </w:r>
      <w:r w:rsidR="004D5C48">
        <w:rPr>
          <w:u w:val="single"/>
        </w:rPr>
        <w:br/>
      </w:r>
      <w:r w:rsidR="004D5C48">
        <w:t xml:space="preserve">Inhalationsanæstetisk potens </w:t>
      </w:r>
      <w:r w:rsidR="006573DF">
        <w:t>kan tolkes ud fra</w:t>
      </w:r>
      <w:r w:rsidR="004D5C48">
        <w:t xml:space="preserve"> den minimale alveolære koncentration (MAC) – dvs. den alveolære gas</w:t>
      </w:r>
      <w:r w:rsidR="006573DF">
        <w:t>-</w:t>
      </w:r>
      <w:r w:rsidR="004D5C48">
        <w:t>koncentration hvor</w:t>
      </w:r>
      <w:r w:rsidR="00747E24">
        <w:t>ved</w:t>
      </w:r>
      <w:r w:rsidR="004D5C48">
        <w:t xml:space="preserve"> </w:t>
      </w:r>
      <w:r w:rsidR="00E57F17">
        <w:t>halvdelen (50 %)</w:t>
      </w:r>
      <w:r w:rsidR="00747E24">
        <w:t xml:space="preserve"> </w:t>
      </w:r>
      <w:r w:rsidR="004D5C48">
        <w:t xml:space="preserve">af </w:t>
      </w:r>
      <w:r w:rsidR="0015330B">
        <w:t>befolkningen</w:t>
      </w:r>
      <w:r w:rsidR="004D5C48">
        <w:t xml:space="preserve"> ej responderer motorisk på kirurgisk </w:t>
      </w:r>
      <w:r w:rsidR="00747E24">
        <w:t>hud</w:t>
      </w:r>
      <w:r w:rsidR="004D5C48">
        <w:t xml:space="preserve">incision. </w:t>
      </w:r>
      <w:r w:rsidR="00747E24">
        <w:br/>
      </w:r>
      <w:r w:rsidR="00747E24">
        <w:br/>
      </w:r>
      <w:r w:rsidR="004D5C48">
        <w:t>1.2 x MAC</w:t>
      </w:r>
      <w:r w:rsidR="0015330B">
        <w:t>: 95 % responderer ej på hudincision</w:t>
      </w:r>
      <w:r w:rsidR="0015330B">
        <w:br/>
      </w:r>
      <w:r w:rsidR="004D5C48">
        <w:t>1.3 x MAC</w:t>
      </w:r>
      <w:r w:rsidR="0015330B">
        <w:t>: 99 % responderer ej på hudincision</w:t>
      </w:r>
      <w:r w:rsidR="004D5C48">
        <w:t>.</w:t>
      </w:r>
      <w:r w:rsidR="006573DF">
        <w:br/>
      </w:r>
      <w:r w:rsidR="004D5C48">
        <w:t xml:space="preserve"> </w:t>
      </w:r>
      <w:r w:rsidR="004D5C48">
        <w:br/>
      </w:r>
      <w:r w:rsidR="004D5C48" w:rsidRPr="008A5A79">
        <w:rPr>
          <w:i/>
          <w:color w:val="0070C0"/>
        </w:rPr>
        <w:t>Som det gerne skulle stå klart, er MAC omvendt proportionalt med potens</w:t>
      </w:r>
      <w:r w:rsidR="004D5C48" w:rsidRPr="008A5A79">
        <w:rPr>
          <w:color w:val="0070C0"/>
        </w:rPr>
        <w:t xml:space="preserve">  </w:t>
      </w:r>
      <w:r w:rsidR="006573DF">
        <w:br/>
        <w:t xml:space="preserve">Hvis det kræver en høj alveolær gaskoncentration at bringe </w:t>
      </w:r>
      <w:r w:rsidR="00E57F17">
        <w:t>halvdelen</w:t>
      </w:r>
      <w:r w:rsidR="006573DF">
        <w:t xml:space="preserve"> af en eksponeret gruppe i fuld narkose, er potensen lav. Hvis det kræver en lille alveolær gaskoncentration at bringe </w:t>
      </w:r>
      <w:r w:rsidR="008A5A79">
        <w:t xml:space="preserve">halvdelen </w:t>
      </w:r>
      <w:r w:rsidR="006573DF">
        <w:t xml:space="preserve">af en eksponeret gruppe i fuld narkose er potensen høj. </w:t>
      </w:r>
      <w:r w:rsidR="004D5C48">
        <w:br/>
      </w:r>
      <w:r w:rsidR="006573DF">
        <w:br/>
      </w:r>
      <w:r w:rsidR="006573DF" w:rsidRPr="008A5A79">
        <w:rPr>
          <w:i/>
          <w:color w:val="0070C0"/>
        </w:rPr>
        <w:t>MAC angives</w:t>
      </w:r>
      <w:r w:rsidR="008A5A79" w:rsidRPr="008A5A79">
        <w:rPr>
          <w:i/>
          <w:color w:val="0070C0"/>
        </w:rPr>
        <w:t xml:space="preserve"> (noget kontraintuitivt)</w:t>
      </w:r>
      <w:r w:rsidR="006573DF" w:rsidRPr="008A5A79">
        <w:rPr>
          <w:i/>
          <w:color w:val="0070C0"/>
        </w:rPr>
        <w:t xml:space="preserve"> </w:t>
      </w:r>
      <w:r w:rsidR="008A5A79" w:rsidRPr="008A5A79">
        <w:rPr>
          <w:i/>
          <w:color w:val="0070C0"/>
          <w:u w:val="single"/>
        </w:rPr>
        <w:t>ikke</w:t>
      </w:r>
      <w:r w:rsidR="008A5A79" w:rsidRPr="008A5A79">
        <w:rPr>
          <w:i/>
          <w:color w:val="0070C0"/>
        </w:rPr>
        <w:t xml:space="preserve"> i koncentrationsenheder, men derimod i </w:t>
      </w:r>
      <w:r w:rsidR="008A5A79" w:rsidRPr="008A5A79">
        <w:rPr>
          <w:i/>
          <w:color w:val="0070C0"/>
          <w:u w:val="single"/>
        </w:rPr>
        <w:t>procent</w:t>
      </w:r>
      <w:r w:rsidR="008A5A79" w:rsidRPr="008A5A79">
        <w:rPr>
          <w:i/>
          <w:color w:val="0070C0"/>
        </w:rPr>
        <w:t xml:space="preserve"> – hvis man har en MAC på 2 </w:t>
      </w:r>
      <w:r w:rsidR="0015330B">
        <w:rPr>
          <w:i/>
          <w:color w:val="0070C0"/>
        </w:rPr>
        <w:t xml:space="preserve">(dvs. </w:t>
      </w:r>
      <w:r w:rsidR="008A5A79" w:rsidRPr="008A5A79">
        <w:rPr>
          <w:i/>
          <w:color w:val="0070C0"/>
        </w:rPr>
        <w:t>2%</w:t>
      </w:r>
      <w:r w:rsidR="0015330B">
        <w:rPr>
          <w:i/>
          <w:color w:val="0070C0"/>
        </w:rPr>
        <w:t>)</w:t>
      </w:r>
      <w:r w:rsidR="008A5A79">
        <w:rPr>
          <w:i/>
          <w:color w:val="0070C0"/>
        </w:rPr>
        <w:t xml:space="preserve"> for et bestemt gasanæstetikum, betyder det, at koncentrationen af gassen i alveolerne </w:t>
      </w:r>
      <w:r w:rsidR="008A5A79">
        <w:rPr>
          <w:i/>
          <w:color w:val="0070C0"/>
        </w:rPr>
        <w:lastRenderedPageBreak/>
        <w:t>ska</w:t>
      </w:r>
      <w:r w:rsidR="0015330B">
        <w:rPr>
          <w:i/>
          <w:color w:val="0070C0"/>
        </w:rPr>
        <w:t xml:space="preserve">l </w:t>
      </w:r>
      <w:r w:rsidR="008A5A79">
        <w:rPr>
          <w:i/>
          <w:color w:val="0070C0"/>
          <w:u w:val="single"/>
        </w:rPr>
        <w:t>svare til</w:t>
      </w:r>
      <w:r w:rsidR="008A5A79">
        <w:rPr>
          <w:i/>
          <w:color w:val="0070C0"/>
        </w:rPr>
        <w:t xml:space="preserve"> 2 % af den </w:t>
      </w:r>
      <w:r w:rsidR="008A5A79" w:rsidRPr="008A5A79">
        <w:rPr>
          <w:i/>
          <w:color w:val="0070C0"/>
          <w:u w:val="single"/>
        </w:rPr>
        <w:t>samlede mængde</w:t>
      </w:r>
      <w:r w:rsidR="008A5A79">
        <w:rPr>
          <w:i/>
          <w:color w:val="0070C0"/>
        </w:rPr>
        <w:t xml:space="preserve"> gasser i alveolerne, før 50 % af populationen ville opnå fuld narkose ved brug af givne </w:t>
      </w:r>
      <w:proofErr w:type="spellStart"/>
      <w:r w:rsidR="008A5A79">
        <w:rPr>
          <w:i/>
          <w:color w:val="0070C0"/>
        </w:rPr>
        <w:t>anæstetikum</w:t>
      </w:r>
      <w:proofErr w:type="spellEnd"/>
      <w:r w:rsidR="008A5A79">
        <w:rPr>
          <w:i/>
          <w:color w:val="0070C0"/>
        </w:rPr>
        <w:t xml:space="preserve">. </w:t>
      </w:r>
      <w:r w:rsidR="008A5A79">
        <w:rPr>
          <w:i/>
          <w:color w:val="0070C0"/>
        </w:rPr>
        <w:br/>
      </w:r>
      <w:r w:rsidR="004D5C48">
        <w:br/>
        <w:t xml:space="preserve">For </w:t>
      </w:r>
      <w:r w:rsidR="006573DF">
        <w:t>dinitrogenoxid/lattergas</w:t>
      </w:r>
      <w:r w:rsidR="004D5C48">
        <w:t xml:space="preserve"> vedkommende er MAC </w:t>
      </w:r>
      <w:r w:rsidR="008A5A79">
        <w:t>&gt;</w:t>
      </w:r>
      <w:r w:rsidR="004D5C48">
        <w:t xml:space="preserve"> 100 %. Det betyder, at uanset hvor store mængder lattergas en patient eksponeres for, vil lattergassen i sig selv ej være sufficient ift. at bringe denne i fuld narkose. </w:t>
      </w:r>
      <w:r w:rsidR="006573DF">
        <w:t>Dinitrogenoxid</w:t>
      </w:r>
      <w:r w:rsidR="004D5C48">
        <w:t xml:space="preserve"> skal altså anvendes kombineret</w:t>
      </w:r>
      <w:r w:rsidR="0015330B">
        <w:t xml:space="preserve"> ved ønske om fuld narkose. </w:t>
      </w:r>
    </w:p>
    <w:p w:rsidR="00C2685E" w:rsidRPr="00C2685E" w:rsidRDefault="00C2685E" w:rsidP="00985557">
      <w:pPr>
        <w:rPr>
          <w:color w:val="0070C0"/>
        </w:rPr>
      </w:pPr>
      <w:r>
        <w:rPr>
          <w:color w:val="0070C0"/>
        </w:rPr>
        <w:t xml:space="preserve">MAC afgøres af den </w:t>
      </w:r>
      <w:proofErr w:type="spellStart"/>
      <w:r>
        <w:rPr>
          <w:color w:val="0070C0"/>
        </w:rPr>
        <w:t>generelanæst</w:t>
      </w:r>
      <w:r w:rsidR="0015330B">
        <w:rPr>
          <w:color w:val="0070C0"/>
        </w:rPr>
        <w:t>iske</w:t>
      </w:r>
      <w:proofErr w:type="spellEnd"/>
      <w:r w:rsidR="0015330B">
        <w:rPr>
          <w:color w:val="0070C0"/>
        </w:rPr>
        <w:t xml:space="preserve"> potens</w:t>
      </w:r>
    </w:p>
    <w:p w:rsidR="00E57F17" w:rsidRPr="00E57F17" w:rsidRDefault="004D5C48" w:rsidP="00985557">
      <w:r w:rsidRPr="00E57F17">
        <w:rPr>
          <w:b/>
        </w:rPr>
        <w:t>Farmakokinetik</w:t>
      </w:r>
      <w:r w:rsidR="00191121">
        <w:rPr>
          <w:b/>
        </w:rPr>
        <w:br/>
      </w:r>
      <w:r w:rsidR="00191121">
        <w:rPr>
          <w:i/>
        </w:rPr>
        <w:t xml:space="preserve">Et vigtigt kriterie for et brugbart gasanæstetikum er, at forholdet mellem gassens koncentration i arterielt blod (styrende for den farmakologiske effekt) konstant og hurtigt følger med gassens alveolære </w:t>
      </w:r>
      <w:proofErr w:type="spellStart"/>
      <w:r w:rsidR="00191121">
        <w:rPr>
          <w:i/>
        </w:rPr>
        <w:t>partialtryk</w:t>
      </w:r>
      <w:proofErr w:type="spellEnd"/>
      <w:r w:rsidR="00191121">
        <w:rPr>
          <w:i/>
        </w:rPr>
        <w:t xml:space="preserve"> (proportionalt med den alveolære gaskoncentration). Ved administrationsophør skal der altså ikke gå længe før blodkoncentrationen falder til subanæstetisk niveau. Således kan man løbende og hurtigt styre anæstesiens dybde og bringe patienten ud af bedøvelse. Et ideelt gasanæstetikum kendetegnes derfor ved 1) hurtig induktion </w:t>
      </w:r>
      <w:r w:rsidR="008A5A79">
        <w:rPr>
          <w:i/>
        </w:rPr>
        <w:t xml:space="preserve">(virkning) </w:t>
      </w:r>
      <w:r w:rsidR="00191121">
        <w:rPr>
          <w:i/>
        </w:rPr>
        <w:t xml:space="preserve">og 2) hurtig udluftning </w:t>
      </w:r>
      <w:r w:rsidR="008A5A79">
        <w:rPr>
          <w:i/>
        </w:rPr>
        <w:t xml:space="preserve">(elimination via lungerne) </w:t>
      </w:r>
      <w:r w:rsidR="00191121">
        <w:rPr>
          <w:i/>
        </w:rPr>
        <w:t>således man løbende kan korrigere patientens tilstand. Mere herom senere</w:t>
      </w:r>
      <w:r w:rsidR="008A5A79">
        <w:rPr>
          <w:i/>
        </w:rPr>
        <w:t>.</w:t>
      </w:r>
      <w:r w:rsidR="00191121">
        <w:rPr>
          <w:u w:val="single"/>
        </w:rPr>
        <w:br/>
      </w:r>
      <w:r w:rsidR="0003241F">
        <w:rPr>
          <w:u w:val="single"/>
        </w:rPr>
        <w:br/>
      </w:r>
      <w:r w:rsidR="0003241F" w:rsidRPr="00E57F17">
        <w:rPr>
          <w:u w:val="single"/>
        </w:rPr>
        <w:t>Absorption</w:t>
      </w:r>
      <w:r w:rsidR="00E57F17">
        <w:br/>
      </w:r>
      <w:r w:rsidR="00396B3F">
        <w:t>Via</w:t>
      </w:r>
      <w:r w:rsidR="00E57F17">
        <w:t xml:space="preserve"> inhalationsluft over alveolærmembranen (absorberet når det når systemiske </w:t>
      </w:r>
      <w:r w:rsidR="00396B3F">
        <w:t>kredsløb)</w:t>
      </w:r>
    </w:p>
    <w:p w:rsidR="00682B64" w:rsidRDefault="00E57F17" w:rsidP="00985557">
      <w:r>
        <w:rPr>
          <w:u w:val="single"/>
        </w:rPr>
        <w:t>Fordeling</w:t>
      </w:r>
      <w:r>
        <w:rPr>
          <w:u w:val="single"/>
        </w:rPr>
        <w:br/>
      </w:r>
      <w:r>
        <w:t>Via det arterielle blod</w:t>
      </w:r>
      <w:r w:rsidR="00396B3F">
        <w:t>: hurtigt til</w:t>
      </w:r>
      <w:r>
        <w:t xml:space="preserve"> organer med høj perfusion (CNS), langsomt </w:t>
      </w:r>
      <w:r w:rsidR="00396B3F">
        <w:t xml:space="preserve">til </w:t>
      </w:r>
      <w:r>
        <w:t>organer</w:t>
      </w:r>
      <w:r w:rsidR="00396B3F">
        <w:t xml:space="preserve"> med lav perfusion</w:t>
      </w:r>
      <w:r w:rsidR="00396B3F">
        <w:br/>
      </w:r>
      <w:r w:rsidR="00396B3F">
        <w:br/>
      </w:r>
      <w:r w:rsidR="00396B3F">
        <w:rPr>
          <w:u w:val="single"/>
        </w:rPr>
        <w:t xml:space="preserve">Elimination </w:t>
      </w:r>
      <w:r w:rsidR="00396B3F">
        <w:rPr>
          <w:u w:val="single"/>
        </w:rPr>
        <w:br/>
      </w:r>
      <w:r w:rsidR="00396B3F">
        <w:t xml:space="preserve">Via ekspirationsluft over alveolærmembranen (elimineret når det forlader det systemet) </w:t>
      </w:r>
      <w:r w:rsidR="00396B3F">
        <w:br/>
      </w:r>
      <w:r w:rsidR="00396B3F">
        <w:br/>
      </w:r>
      <w:r w:rsidR="00396B3F">
        <w:rPr>
          <w:u w:val="single"/>
        </w:rPr>
        <w:t>Metabolisering</w:t>
      </w:r>
      <w:r w:rsidR="00396B3F">
        <w:rPr>
          <w:u w:val="single"/>
        </w:rPr>
        <w:br/>
      </w:r>
      <w:r w:rsidR="00396B3F">
        <w:t xml:space="preserve">For langt størstedelen gælder det, at metabolisme forekommer i så ringe en grad (hvis overhovedet nogen), at den </w:t>
      </w:r>
      <w:r w:rsidR="00396B3F">
        <w:rPr>
          <w:i/>
        </w:rPr>
        <w:t>ingen</w:t>
      </w:r>
      <w:r w:rsidR="00396B3F">
        <w:t xml:space="preserve"> praktisk rolle spiller på varigheden af generelanæstetisk effekt. </w:t>
      </w:r>
      <w:r w:rsidR="00191121">
        <w:t xml:space="preserve">Den farmakokinetiske profil er således </w:t>
      </w:r>
      <w:r w:rsidR="008A5A79">
        <w:t xml:space="preserve">udelukkende </w:t>
      </w:r>
      <w:r w:rsidR="00191121">
        <w:t xml:space="preserve">bestemt af gasmolekylernes bevægelse mellem blod og lunger – se næste afsnit om induktion og udluftning. </w:t>
      </w:r>
      <w:r w:rsidR="00191121">
        <w:br/>
      </w:r>
      <w:r w:rsidR="00191121">
        <w:br/>
      </w:r>
      <w:r w:rsidR="00191121">
        <w:rPr>
          <w:u w:val="single"/>
        </w:rPr>
        <w:t>Induktion/udluftning</w:t>
      </w:r>
      <w:r w:rsidR="00191121">
        <w:rPr>
          <w:u w:val="single"/>
        </w:rPr>
        <w:br/>
      </w:r>
      <w:r w:rsidR="00682B64">
        <w:t xml:space="preserve">Induktion </w:t>
      </w:r>
      <w:r w:rsidR="008A5A79">
        <w:t xml:space="preserve">(tid fra inhalering til effekt) </w:t>
      </w:r>
      <w:r w:rsidR="00682B64">
        <w:t>og udluftning</w:t>
      </w:r>
      <w:r w:rsidR="008A5A79">
        <w:t xml:space="preserve"> (elimination via lungerne)</w:t>
      </w:r>
      <w:r w:rsidR="00682B64">
        <w:t xml:space="preserve"> afhænger af følgende faktorer</w:t>
      </w:r>
    </w:p>
    <w:p w:rsidR="00682B64" w:rsidRPr="00682B64" w:rsidRDefault="00682B64" w:rsidP="00682B64">
      <w:pPr>
        <w:pStyle w:val="Listeafsnit"/>
        <w:numPr>
          <w:ilvl w:val="0"/>
          <w:numId w:val="13"/>
        </w:numPr>
      </w:pPr>
      <w:r>
        <w:rPr>
          <w:i/>
        </w:rPr>
        <w:t>Fysiologiske faktorer</w:t>
      </w:r>
    </w:p>
    <w:p w:rsidR="00682B64" w:rsidRDefault="00682B64" w:rsidP="00682B64">
      <w:pPr>
        <w:pStyle w:val="Listeafsnit"/>
        <w:numPr>
          <w:ilvl w:val="0"/>
          <w:numId w:val="15"/>
        </w:numPr>
      </w:pPr>
      <w:r>
        <w:t xml:space="preserve">Alveolær respirationsrate </w:t>
      </w:r>
    </w:p>
    <w:p w:rsidR="00682B64" w:rsidRDefault="00682B64" w:rsidP="00682B64">
      <w:pPr>
        <w:pStyle w:val="Listeafsnit"/>
        <w:numPr>
          <w:ilvl w:val="0"/>
          <w:numId w:val="15"/>
        </w:numPr>
      </w:pPr>
      <w:r>
        <w:t>Minutvolumen (CO)</w:t>
      </w:r>
    </w:p>
    <w:p w:rsidR="00682B64" w:rsidRPr="00682B64" w:rsidRDefault="00682B64" w:rsidP="00682B64">
      <w:pPr>
        <w:pStyle w:val="Listeafsnit"/>
        <w:numPr>
          <w:ilvl w:val="0"/>
          <w:numId w:val="13"/>
        </w:numPr>
      </w:pPr>
      <w:r>
        <w:rPr>
          <w:i/>
        </w:rPr>
        <w:t>Farmakologiske faktorer</w:t>
      </w:r>
    </w:p>
    <w:p w:rsidR="00682B64" w:rsidRDefault="00682B64" w:rsidP="00682B64">
      <w:pPr>
        <w:pStyle w:val="Listeafsnit"/>
        <w:numPr>
          <w:ilvl w:val="0"/>
          <w:numId w:val="15"/>
        </w:numPr>
      </w:pPr>
      <w:r>
        <w:t>Blodopløselighed (blod:gas fordelingskoefficient)</w:t>
      </w:r>
      <w:r w:rsidR="008A5A79">
        <w:t xml:space="preserve"> </w:t>
      </w:r>
      <w:r w:rsidR="008A5A79">
        <w:sym w:font="Wingdings" w:char="F0E0"/>
      </w:r>
      <w:r w:rsidR="008A5A79">
        <w:t xml:space="preserve"> mere herom nedenfor</w:t>
      </w:r>
    </w:p>
    <w:p w:rsidR="00504445" w:rsidRPr="00504445" w:rsidRDefault="00504445" w:rsidP="00504445">
      <w:pPr>
        <w:pStyle w:val="Listeafsnit"/>
        <w:numPr>
          <w:ilvl w:val="0"/>
          <w:numId w:val="18"/>
        </w:numPr>
        <w:rPr>
          <w:sz w:val="18"/>
        </w:rPr>
      </w:pPr>
      <w:r w:rsidRPr="00504445">
        <w:rPr>
          <w:sz w:val="18"/>
        </w:rPr>
        <w:t>Jo lavere, jo hurtigere induktion/udluftning</w:t>
      </w:r>
    </w:p>
    <w:p w:rsidR="00682B64" w:rsidRDefault="00682B64" w:rsidP="00682B64">
      <w:pPr>
        <w:pStyle w:val="Listeafsnit"/>
        <w:numPr>
          <w:ilvl w:val="0"/>
          <w:numId w:val="15"/>
        </w:numPr>
      </w:pPr>
      <w:r>
        <w:t xml:space="preserve">Fedtopløselighed (olie:gas fordelingskoefficient) </w:t>
      </w:r>
      <w:r>
        <w:sym w:font="Wingdings" w:char="F0E0"/>
      </w:r>
      <w:r>
        <w:t xml:space="preserve"> mere herom</w:t>
      </w:r>
      <w:r w:rsidR="008A5A79">
        <w:t xml:space="preserve"> nedenfor</w:t>
      </w:r>
    </w:p>
    <w:p w:rsidR="00504445" w:rsidRPr="00504445" w:rsidRDefault="00504445" w:rsidP="00504445">
      <w:pPr>
        <w:pStyle w:val="Listeafsnit"/>
        <w:numPr>
          <w:ilvl w:val="0"/>
          <w:numId w:val="18"/>
        </w:numPr>
        <w:rPr>
          <w:sz w:val="18"/>
        </w:rPr>
      </w:pPr>
      <w:r w:rsidRPr="00504445">
        <w:rPr>
          <w:sz w:val="18"/>
        </w:rPr>
        <w:t>Jo højere, jo hurtigere induktion</w:t>
      </w:r>
      <w:r>
        <w:rPr>
          <w:sz w:val="18"/>
        </w:rPr>
        <w:t>; men forsinket udluftning</w:t>
      </w:r>
    </w:p>
    <w:p w:rsidR="00504445" w:rsidRDefault="00682B64" w:rsidP="00682B64">
      <w:r>
        <w:rPr>
          <w:u w:val="single"/>
        </w:rPr>
        <w:t>Blodopløselighed (blod:gas fordelingskoefficient)</w:t>
      </w:r>
      <w:r>
        <w:rPr>
          <w:u w:val="single"/>
        </w:rPr>
        <w:br/>
      </w:r>
      <w:r>
        <w:t>Blod:gas fordelingskoefficient</w:t>
      </w:r>
      <w:r w:rsidR="008A5A79">
        <w:t>en</w:t>
      </w:r>
      <w:r>
        <w:t xml:space="preserve"> demonstrerer forholdet mellem</w:t>
      </w:r>
      <w:r w:rsidR="00504445">
        <w:t xml:space="preserve"> de molekyler, der efter optag i det </w:t>
      </w:r>
      <w:r w:rsidR="00504445">
        <w:lastRenderedPageBreak/>
        <w:t>systemiske kredsløb</w:t>
      </w:r>
      <w:r w:rsidR="001329BD">
        <w:t xml:space="preserve"> a) fortsat befinder sig i gasfasen og b) </w:t>
      </w:r>
      <w:r w:rsidR="00504445">
        <w:t xml:space="preserve">har bundet sig til plasmaproteiner (og dermed er gået i </w:t>
      </w:r>
      <w:r w:rsidR="00504445" w:rsidRPr="00504445">
        <w:t>opløsning</w:t>
      </w:r>
      <w:r w:rsidR="00504445">
        <w:t>). Ligningen skrives således:</w:t>
      </w:r>
      <w:r w:rsidR="00504445">
        <w:br/>
      </w:r>
      <w:r w:rsidR="00504445">
        <w:br/>
        <w:t xml:space="preserve">B:G = </w:t>
      </w:r>
      <m:oMath>
        <m:f>
          <m:fPr>
            <m:ctrlPr>
              <w:rPr>
                <w:rFonts w:ascii="Cambria Math" w:hAnsi="Cambria Math"/>
                <w:i/>
              </w:rPr>
            </m:ctrlPr>
          </m:fPr>
          <m:num>
            <m:sSup>
              <m:sSupPr>
                <m:ctrlPr>
                  <w:rPr>
                    <w:rFonts w:ascii="Cambria Math" w:hAnsi="Cambria Math"/>
                    <w:i/>
                  </w:rPr>
                </m:ctrlPr>
              </m:sSupPr>
              <m:e>
                <m:r>
                  <w:rPr>
                    <w:rFonts w:ascii="Cambria Math" w:hAnsi="Cambria Math"/>
                  </w:rPr>
                  <m:t>koncentration</m:t>
                </m:r>
              </m:e>
              <m:sup>
                <m:r>
                  <w:rPr>
                    <w:rFonts w:ascii="Cambria Math" w:hAnsi="Cambria Math"/>
                  </w:rPr>
                  <m:t>n</m:t>
                </m:r>
              </m:sup>
            </m:sSup>
            <m:r>
              <w:rPr>
                <w:rFonts w:ascii="Cambria Math" w:hAnsi="Cambria Math"/>
              </w:rPr>
              <m:t xml:space="preserve"> blod</m:t>
            </m:r>
          </m:num>
          <m:den>
            <m:sSup>
              <m:sSupPr>
                <m:ctrlPr>
                  <w:rPr>
                    <w:rFonts w:ascii="Cambria Math" w:hAnsi="Cambria Math"/>
                    <w:i/>
                  </w:rPr>
                </m:ctrlPr>
              </m:sSupPr>
              <m:e>
                <m:r>
                  <w:rPr>
                    <w:rFonts w:ascii="Cambria Math" w:hAnsi="Cambria Math"/>
                  </w:rPr>
                  <m:t>koncentration</m:t>
                </m:r>
              </m:e>
              <m:sup>
                <m:r>
                  <w:rPr>
                    <w:rFonts w:ascii="Cambria Math" w:hAnsi="Cambria Math"/>
                  </w:rPr>
                  <m:t>n</m:t>
                </m:r>
              </m:sup>
            </m:sSup>
            <m:r>
              <w:rPr>
                <w:rFonts w:ascii="Cambria Math" w:hAnsi="Cambria Math"/>
              </w:rPr>
              <m:t xml:space="preserve"> gas</m:t>
            </m:r>
          </m:den>
        </m:f>
      </m:oMath>
      <w:r w:rsidR="00504445">
        <w:t xml:space="preserve"> </w:t>
      </w:r>
    </w:p>
    <w:p w:rsidR="00B439A8" w:rsidRPr="00504445" w:rsidRDefault="001329BD" w:rsidP="00682B64">
      <w:r>
        <w:t>Det tilsigtes i klinisk brug at anvende gasanæstetika med en lav blod:gas fordelingskoefficient (betydende at få molekyler er gået i opløsning), da dette minimerer tiden mellem inhalering og induktion samt tiden mellem induktion og udluftning. Når et gasanæstetikum har stor tilbøjelig til at gå i opløsning med blodet (</w:t>
      </w:r>
      <w:proofErr w:type="gramStart"/>
      <w:r>
        <w:t>høj blod</w:t>
      </w:r>
      <w:proofErr w:type="gramEnd"/>
      <w:r>
        <w:t xml:space="preserve">:gas fordelingskoefficient) er man nødt til at vente på at blodet er mættet (således molekylerne begynder at dissociere fra plasmaproteinerne) før stoffet kan </w:t>
      </w:r>
      <w:r w:rsidR="00086DF9">
        <w:t xml:space="preserve">frigives til og </w:t>
      </w:r>
      <w:r>
        <w:t>udøve sin effekt</w:t>
      </w:r>
      <w:r w:rsidR="00086DF9">
        <w:t xml:space="preserve"> i </w:t>
      </w:r>
      <w:proofErr w:type="spellStart"/>
      <w:r w:rsidR="00086DF9">
        <w:t>targetvævene</w:t>
      </w:r>
      <w:proofErr w:type="spellEnd"/>
      <w:r>
        <w:t xml:space="preserve">. </w:t>
      </w:r>
      <w:r w:rsidR="008A5A79">
        <w:t>Der skal altså indstilles en ligevægt før stoffet kan begynde at virke.</w:t>
      </w:r>
      <w:r w:rsidR="007F4417">
        <w:t xml:space="preserve"> Ligevægten skal helst indstille sig hurtigt (hvad er tilfældet ved lav opløselighed).</w:t>
      </w:r>
      <w:r w:rsidR="008A5A79">
        <w:t xml:space="preserve"> </w:t>
      </w:r>
    </w:p>
    <w:p w:rsidR="00C2685E" w:rsidRPr="00C2685E" w:rsidRDefault="00C2685E" w:rsidP="00C2685E">
      <w:r>
        <w:rPr>
          <w:u w:val="single"/>
        </w:rPr>
        <w:t>Lipidopløselighed</w:t>
      </w:r>
      <w:r w:rsidR="00682B64">
        <w:rPr>
          <w:u w:val="single"/>
        </w:rPr>
        <w:t xml:space="preserve"> (olie:gas fordelingskoefficient)</w:t>
      </w:r>
      <w:r w:rsidR="00B439A8">
        <w:rPr>
          <w:u w:val="single"/>
        </w:rPr>
        <w:br/>
      </w:r>
      <w:r>
        <w:t xml:space="preserve">Olie:gas fordelingskoefficienten siger noget om et </w:t>
      </w:r>
      <w:proofErr w:type="spellStart"/>
      <w:r>
        <w:t>gasanæstetikums</w:t>
      </w:r>
      <w:proofErr w:type="spellEnd"/>
      <w:r>
        <w:t xml:space="preserve"> lipidopløselighed, med hvilken vi tidligere konstaterede stod i korrelation til sammes potens. </w:t>
      </w:r>
      <w:r>
        <w:br/>
      </w:r>
      <w:r w:rsidRPr="00C2685E">
        <w:t>For at sta</w:t>
      </w:r>
      <w:r>
        <w:t xml:space="preserve">ndardisere udregningen af forskellige </w:t>
      </w:r>
      <w:proofErr w:type="spellStart"/>
      <w:r>
        <w:t>anæstetikas</w:t>
      </w:r>
      <w:proofErr w:type="spellEnd"/>
      <w:r>
        <w:t xml:space="preserve"> lipidopløselighed ved brug af olie:gas fordelingskoefficientligningen (se nedenfor) anvendes olivenolie ved udregning som lipid.  </w:t>
      </w:r>
      <w:r w:rsidRPr="00C2685E">
        <w:br/>
      </w:r>
      <w:r w:rsidRPr="00C2685E">
        <w:br/>
        <w:t xml:space="preserve">O:G = </w:t>
      </w:r>
      <m:oMath>
        <m:f>
          <m:fPr>
            <m:ctrlPr>
              <w:rPr>
                <w:rFonts w:ascii="Cambria Math" w:hAnsi="Cambria Math"/>
                <w:i/>
              </w:rPr>
            </m:ctrlPr>
          </m:fPr>
          <m:num>
            <m:sSup>
              <m:sSupPr>
                <m:ctrlPr>
                  <w:rPr>
                    <w:rFonts w:ascii="Cambria Math" w:hAnsi="Cambria Math"/>
                    <w:i/>
                  </w:rPr>
                </m:ctrlPr>
              </m:sSupPr>
              <m:e>
                <m:r>
                  <w:rPr>
                    <w:rFonts w:ascii="Cambria Math" w:hAnsi="Cambria Math"/>
                  </w:rPr>
                  <m:t>koncentration</m:t>
                </m:r>
              </m:e>
              <m:sup>
                <m:r>
                  <w:rPr>
                    <w:rFonts w:ascii="Cambria Math" w:hAnsi="Cambria Math"/>
                  </w:rPr>
                  <m:t>n</m:t>
                </m:r>
              </m:sup>
            </m:sSup>
            <m:r>
              <w:rPr>
                <w:rFonts w:ascii="Cambria Math" w:hAnsi="Cambria Math"/>
              </w:rPr>
              <m:t xml:space="preserve"> olivenolie</m:t>
            </m:r>
          </m:num>
          <m:den>
            <m:sSup>
              <m:sSupPr>
                <m:ctrlPr>
                  <w:rPr>
                    <w:rFonts w:ascii="Cambria Math" w:hAnsi="Cambria Math"/>
                    <w:i/>
                  </w:rPr>
                </m:ctrlPr>
              </m:sSupPr>
              <m:e>
                <m:r>
                  <w:rPr>
                    <w:rFonts w:ascii="Cambria Math" w:hAnsi="Cambria Math"/>
                  </w:rPr>
                  <m:t>koncentration</m:t>
                </m:r>
              </m:e>
              <m:sup>
                <m:r>
                  <w:rPr>
                    <w:rFonts w:ascii="Cambria Math" w:hAnsi="Cambria Math"/>
                  </w:rPr>
                  <m:t>n</m:t>
                </m:r>
              </m:sup>
            </m:sSup>
            <m:r>
              <w:rPr>
                <w:rFonts w:ascii="Cambria Math" w:hAnsi="Cambria Math"/>
              </w:rPr>
              <m:t xml:space="preserve"> gas</m:t>
            </m:r>
          </m:den>
        </m:f>
      </m:oMath>
      <w:r w:rsidRPr="00C2685E">
        <w:t xml:space="preserve"> </w:t>
      </w:r>
    </w:p>
    <w:p w:rsidR="00C2685E" w:rsidRDefault="00C2685E" w:rsidP="00682B64">
      <w:r>
        <w:t xml:space="preserve">Gasanæstetika med høj olie:gas fordelingskoefficient har en høj lipidopløselighed og er derfor mere potente end gasanæstetika med en lav olie:gas fordelingskoefficient. </w:t>
      </w:r>
      <w:r>
        <w:br/>
      </w:r>
      <w:r>
        <w:br/>
        <w:t xml:space="preserve">Olie:gas fordelingskoefficienten er omvendt proportional med MAC, da høj olie:gas fordelingskoefficient = høj potens. Potens, fandt vi ud af tidligere, er omvendt proportional med MAC. </w:t>
      </w:r>
    </w:p>
    <w:tbl>
      <w:tblPr>
        <w:tblStyle w:val="Tabel-Gitter"/>
        <w:tblW w:w="9627" w:type="dxa"/>
        <w:tblLayout w:type="fixed"/>
        <w:tblLook w:val="04A0" w:firstRow="1" w:lastRow="0" w:firstColumn="1" w:lastColumn="0" w:noHBand="0" w:noVBand="1"/>
      </w:tblPr>
      <w:tblGrid>
        <w:gridCol w:w="3209"/>
        <w:gridCol w:w="3209"/>
        <w:gridCol w:w="3209"/>
      </w:tblGrid>
      <w:tr w:rsidR="001D7E84" w:rsidRPr="00FC7806" w:rsidTr="0069104C">
        <w:tc>
          <w:tcPr>
            <w:tcW w:w="3209" w:type="dxa"/>
          </w:tcPr>
          <w:p w:rsidR="001D7E84" w:rsidRPr="00FC7806" w:rsidRDefault="001D7E84" w:rsidP="00E271BB">
            <w:pPr>
              <w:rPr>
                <w:b/>
                <w:sz w:val="24"/>
                <w:szCs w:val="24"/>
              </w:rPr>
            </w:pPr>
          </w:p>
        </w:tc>
        <w:tc>
          <w:tcPr>
            <w:tcW w:w="3209" w:type="dxa"/>
          </w:tcPr>
          <w:p w:rsidR="001D7E84" w:rsidRDefault="001D7E84" w:rsidP="0061343A">
            <w:pPr>
              <w:jc w:val="center"/>
              <w:rPr>
                <w:b/>
                <w:color w:val="0070C0"/>
                <w:sz w:val="24"/>
                <w:szCs w:val="24"/>
              </w:rPr>
            </w:pPr>
            <w:r>
              <w:rPr>
                <w:b/>
                <w:color w:val="0070C0"/>
                <w:sz w:val="24"/>
                <w:szCs w:val="24"/>
              </w:rPr>
              <w:t>N</w:t>
            </w:r>
            <w:r>
              <w:rPr>
                <w:b/>
                <w:color w:val="0070C0"/>
                <w:sz w:val="24"/>
                <w:szCs w:val="24"/>
                <w:vertAlign w:val="subscript"/>
              </w:rPr>
              <w:t>2</w:t>
            </w:r>
            <w:r>
              <w:rPr>
                <w:b/>
                <w:color w:val="0070C0"/>
                <w:sz w:val="24"/>
                <w:szCs w:val="24"/>
              </w:rPr>
              <w:t>O</w:t>
            </w:r>
          </w:p>
        </w:tc>
        <w:tc>
          <w:tcPr>
            <w:tcW w:w="3209" w:type="dxa"/>
          </w:tcPr>
          <w:p w:rsidR="001D7E84" w:rsidRDefault="001D7E84" w:rsidP="001D7E84">
            <w:pPr>
              <w:jc w:val="center"/>
              <w:rPr>
                <w:b/>
                <w:color w:val="0070C0"/>
                <w:sz w:val="24"/>
                <w:szCs w:val="24"/>
              </w:rPr>
            </w:pPr>
            <w:proofErr w:type="spellStart"/>
            <w:r>
              <w:rPr>
                <w:b/>
                <w:color w:val="0070C0"/>
                <w:sz w:val="24"/>
                <w:szCs w:val="24"/>
              </w:rPr>
              <w:t>Sevofluran</w:t>
            </w:r>
            <w:proofErr w:type="spellEnd"/>
          </w:p>
        </w:tc>
      </w:tr>
      <w:tr w:rsidR="0069104C" w:rsidRPr="00FC7806" w:rsidTr="0069104C">
        <w:tc>
          <w:tcPr>
            <w:tcW w:w="3209" w:type="dxa"/>
          </w:tcPr>
          <w:p w:rsidR="0069104C" w:rsidRPr="00FC7806" w:rsidRDefault="0069104C" w:rsidP="00E271BB">
            <w:pPr>
              <w:rPr>
                <w:b/>
                <w:sz w:val="24"/>
                <w:szCs w:val="24"/>
              </w:rPr>
            </w:pPr>
            <w:r w:rsidRPr="00FC7806">
              <w:rPr>
                <w:b/>
                <w:sz w:val="24"/>
                <w:szCs w:val="24"/>
              </w:rPr>
              <w:t>Type</w:t>
            </w:r>
          </w:p>
        </w:tc>
        <w:tc>
          <w:tcPr>
            <w:tcW w:w="3209" w:type="dxa"/>
          </w:tcPr>
          <w:p w:rsidR="0069104C" w:rsidRPr="00F6200F" w:rsidRDefault="00F6200F" w:rsidP="001D7E84">
            <w:pPr>
              <w:rPr>
                <w:sz w:val="20"/>
                <w:szCs w:val="24"/>
              </w:rPr>
            </w:pPr>
            <w:r>
              <w:rPr>
                <w:sz w:val="20"/>
                <w:szCs w:val="24"/>
              </w:rPr>
              <w:t>Gasanæstetikum</w:t>
            </w:r>
          </w:p>
        </w:tc>
        <w:tc>
          <w:tcPr>
            <w:tcW w:w="3209" w:type="dxa"/>
          </w:tcPr>
          <w:p w:rsidR="0069104C" w:rsidRPr="001D7E84" w:rsidRDefault="00F6200F" w:rsidP="001D7E84">
            <w:pPr>
              <w:rPr>
                <w:sz w:val="20"/>
                <w:szCs w:val="24"/>
              </w:rPr>
            </w:pPr>
            <w:proofErr w:type="spellStart"/>
            <w:r>
              <w:rPr>
                <w:sz w:val="20"/>
                <w:szCs w:val="24"/>
              </w:rPr>
              <w:t>Volatilt</w:t>
            </w:r>
            <w:proofErr w:type="spellEnd"/>
            <w:r>
              <w:rPr>
                <w:sz w:val="20"/>
                <w:szCs w:val="24"/>
              </w:rPr>
              <w:t xml:space="preserve"> (væske) </w:t>
            </w:r>
            <w:proofErr w:type="spellStart"/>
            <w:r>
              <w:rPr>
                <w:sz w:val="20"/>
                <w:szCs w:val="24"/>
              </w:rPr>
              <w:t>inhalations</w:t>
            </w:r>
            <w:r w:rsidR="001D7E84">
              <w:rPr>
                <w:sz w:val="20"/>
                <w:szCs w:val="24"/>
              </w:rPr>
              <w:t>anæstetikum</w:t>
            </w:r>
            <w:proofErr w:type="spellEnd"/>
            <w:r>
              <w:rPr>
                <w:sz w:val="20"/>
                <w:szCs w:val="24"/>
              </w:rPr>
              <w:t xml:space="preserve"> (</w:t>
            </w:r>
            <w:proofErr w:type="spellStart"/>
            <w:r>
              <w:rPr>
                <w:sz w:val="20"/>
                <w:szCs w:val="24"/>
              </w:rPr>
              <w:t>halogenerende</w:t>
            </w:r>
            <w:proofErr w:type="spellEnd"/>
            <w:r>
              <w:rPr>
                <w:sz w:val="20"/>
                <w:szCs w:val="24"/>
              </w:rPr>
              <w:t>)</w:t>
            </w:r>
          </w:p>
        </w:tc>
      </w:tr>
      <w:tr w:rsidR="0069104C" w:rsidRPr="00FC7806" w:rsidTr="001D7E84">
        <w:trPr>
          <w:trHeight w:val="561"/>
        </w:trPr>
        <w:tc>
          <w:tcPr>
            <w:tcW w:w="3209" w:type="dxa"/>
          </w:tcPr>
          <w:p w:rsidR="0069104C" w:rsidRPr="00FC7806" w:rsidRDefault="0069104C" w:rsidP="00E271BB">
            <w:pPr>
              <w:rPr>
                <w:b/>
                <w:sz w:val="24"/>
                <w:szCs w:val="24"/>
              </w:rPr>
            </w:pPr>
            <w:r w:rsidRPr="00FC7806">
              <w:rPr>
                <w:b/>
                <w:sz w:val="24"/>
                <w:szCs w:val="24"/>
              </w:rPr>
              <w:t>Virkning</w:t>
            </w:r>
          </w:p>
        </w:tc>
        <w:tc>
          <w:tcPr>
            <w:tcW w:w="3209" w:type="dxa"/>
          </w:tcPr>
          <w:p w:rsidR="0069104C" w:rsidRPr="0061343A" w:rsidRDefault="001D7E84" w:rsidP="0061343A">
            <w:pPr>
              <w:rPr>
                <w:sz w:val="24"/>
                <w:szCs w:val="24"/>
              </w:rPr>
            </w:pPr>
            <w:r>
              <w:rPr>
                <w:sz w:val="20"/>
                <w:szCs w:val="24"/>
              </w:rPr>
              <w:t>H</w:t>
            </w:r>
            <w:r w:rsidR="0061343A" w:rsidRPr="0061343A">
              <w:rPr>
                <w:sz w:val="20"/>
                <w:szCs w:val="24"/>
              </w:rPr>
              <w:t>æmning af NMDA-receptorer</w:t>
            </w:r>
            <w:r>
              <w:rPr>
                <w:sz w:val="20"/>
                <w:szCs w:val="24"/>
              </w:rPr>
              <w:t xml:space="preserve"> </w:t>
            </w:r>
            <w:r w:rsidRPr="001D7E84">
              <w:rPr>
                <w:sz w:val="20"/>
                <w:szCs w:val="24"/>
              </w:rPr>
              <w:sym w:font="Wingdings" w:char="F0E0"/>
            </w:r>
            <w:r>
              <w:rPr>
                <w:sz w:val="20"/>
                <w:szCs w:val="24"/>
              </w:rPr>
              <w:br/>
              <w:t>Nedsat neuronexcitabilitet i PNS og CNS</w:t>
            </w:r>
          </w:p>
        </w:tc>
        <w:tc>
          <w:tcPr>
            <w:tcW w:w="3209" w:type="dxa"/>
          </w:tcPr>
          <w:p w:rsidR="0069104C" w:rsidRPr="00F6200F" w:rsidRDefault="00F6200F" w:rsidP="00E271BB">
            <w:pPr>
              <w:rPr>
                <w:sz w:val="20"/>
                <w:szCs w:val="24"/>
              </w:rPr>
            </w:pPr>
            <w:r>
              <w:rPr>
                <w:sz w:val="20"/>
                <w:szCs w:val="24"/>
              </w:rPr>
              <w:t>Positiv allosterisk GABA</w:t>
            </w:r>
            <w:r>
              <w:rPr>
                <w:sz w:val="20"/>
                <w:szCs w:val="24"/>
                <w:vertAlign w:val="subscript"/>
              </w:rPr>
              <w:t>A</w:t>
            </w:r>
            <w:r>
              <w:rPr>
                <w:sz w:val="20"/>
                <w:szCs w:val="24"/>
              </w:rPr>
              <w:t>-receptor-</w:t>
            </w:r>
            <w:proofErr w:type="spellStart"/>
            <w:r>
              <w:rPr>
                <w:sz w:val="20"/>
                <w:szCs w:val="24"/>
              </w:rPr>
              <w:t>modulator</w:t>
            </w:r>
            <w:proofErr w:type="spellEnd"/>
            <w:r>
              <w:rPr>
                <w:sz w:val="20"/>
                <w:szCs w:val="24"/>
              </w:rPr>
              <w:t xml:space="preserve"> </w:t>
            </w:r>
            <w:r w:rsidRPr="00F6200F">
              <w:rPr>
                <w:sz w:val="20"/>
                <w:szCs w:val="24"/>
              </w:rPr>
              <w:sym w:font="Wingdings" w:char="F0E0"/>
            </w:r>
            <w:r>
              <w:rPr>
                <w:sz w:val="20"/>
                <w:szCs w:val="24"/>
              </w:rPr>
              <w:t xml:space="preserve"> </w:t>
            </w:r>
            <w:r>
              <w:rPr>
                <w:sz w:val="20"/>
                <w:szCs w:val="24"/>
              </w:rPr>
              <w:br/>
              <w:t>Nedsat neuronexcitabilitet</w:t>
            </w:r>
          </w:p>
        </w:tc>
      </w:tr>
      <w:tr w:rsidR="0069104C" w:rsidRPr="00FC7806" w:rsidTr="0069104C">
        <w:tc>
          <w:tcPr>
            <w:tcW w:w="3209" w:type="dxa"/>
          </w:tcPr>
          <w:p w:rsidR="0069104C" w:rsidRPr="00FC7806" w:rsidRDefault="0069104C" w:rsidP="00E271BB">
            <w:pPr>
              <w:rPr>
                <w:b/>
                <w:sz w:val="24"/>
                <w:szCs w:val="24"/>
              </w:rPr>
            </w:pPr>
            <w:r>
              <w:rPr>
                <w:b/>
                <w:sz w:val="24"/>
                <w:szCs w:val="24"/>
              </w:rPr>
              <w:t xml:space="preserve">Effekt </w:t>
            </w:r>
          </w:p>
        </w:tc>
        <w:tc>
          <w:tcPr>
            <w:tcW w:w="3209" w:type="dxa"/>
          </w:tcPr>
          <w:p w:rsidR="0069104C" w:rsidRDefault="001D7E84" w:rsidP="00E271BB">
            <w:pPr>
              <w:rPr>
                <w:sz w:val="20"/>
                <w:szCs w:val="24"/>
              </w:rPr>
            </w:pPr>
            <w:r>
              <w:rPr>
                <w:sz w:val="20"/>
                <w:szCs w:val="24"/>
              </w:rPr>
              <w:t>Sederende</w:t>
            </w:r>
            <w:r>
              <w:rPr>
                <w:sz w:val="20"/>
                <w:szCs w:val="24"/>
              </w:rPr>
              <w:br/>
              <w:t>Angstdæmpende</w:t>
            </w:r>
          </w:p>
          <w:p w:rsidR="001D7E84" w:rsidRPr="001D7E84" w:rsidRDefault="001D7E84" w:rsidP="00E271BB">
            <w:pPr>
              <w:rPr>
                <w:sz w:val="20"/>
                <w:szCs w:val="24"/>
              </w:rPr>
            </w:pPr>
            <w:r>
              <w:rPr>
                <w:sz w:val="20"/>
                <w:szCs w:val="24"/>
              </w:rPr>
              <w:t>Endorfinfrigivende</w:t>
            </w:r>
          </w:p>
        </w:tc>
        <w:tc>
          <w:tcPr>
            <w:tcW w:w="3209" w:type="dxa"/>
          </w:tcPr>
          <w:p w:rsidR="0069104C" w:rsidRDefault="00F6200F" w:rsidP="00E271BB">
            <w:pPr>
              <w:rPr>
                <w:sz w:val="20"/>
                <w:szCs w:val="24"/>
              </w:rPr>
            </w:pPr>
            <w:r>
              <w:rPr>
                <w:sz w:val="20"/>
                <w:szCs w:val="24"/>
              </w:rPr>
              <w:t xml:space="preserve">Generel anæstesi, dvs: </w:t>
            </w:r>
            <w:r>
              <w:rPr>
                <w:sz w:val="20"/>
                <w:szCs w:val="24"/>
              </w:rPr>
              <w:br/>
              <w:t>- bevidsthedssuspension</w:t>
            </w:r>
            <w:r>
              <w:rPr>
                <w:sz w:val="20"/>
                <w:szCs w:val="24"/>
              </w:rPr>
              <w:br/>
              <w:t>- analgesi</w:t>
            </w:r>
          </w:p>
          <w:p w:rsidR="00F6200F" w:rsidRDefault="00F6200F" w:rsidP="00E271BB">
            <w:pPr>
              <w:rPr>
                <w:sz w:val="20"/>
                <w:szCs w:val="24"/>
              </w:rPr>
            </w:pPr>
            <w:r>
              <w:rPr>
                <w:sz w:val="20"/>
                <w:szCs w:val="24"/>
              </w:rPr>
              <w:t>- amnesi</w:t>
            </w:r>
          </w:p>
          <w:p w:rsidR="00F6200F" w:rsidRDefault="00F6200F" w:rsidP="00E271BB">
            <w:pPr>
              <w:rPr>
                <w:sz w:val="20"/>
                <w:szCs w:val="24"/>
              </w:rPr>
            </w:pPr>
            <w:r>
              <w:rPr>
                <w:sz w:val="20"/>
                <w:szCs w:val="24"/>
              </w:rPr>
              <w:t>- immobilitet</w:t>
            </w:r>
          </w:p>
          <w:p w:rsidR="00F6200F" w:rsidRPr="00F6200F" w:rsidRDefault="00F6200F" w:rsidP="00E271BB">
            <w:pPr>
              <w:rPr>
                <w:sz w:val="20"/>
                <w:szCs w:val="24"/>
              </w:rPr>
            </w:pPr>
            <w:r>
              <w:rPr>
                <w:sz w:val="20"/>
                <w:szCs w:val="24"/>
              </w:rPr>
              <w:t>- paralyse</w:t>
            </w:r>
          </w:p>
        </w:tc>
      </w:tr>
      <w:tr w:rsidR="0069104C" w:rsidRPr="00FC7806" w:rsidTr="0069104C">
        <w:tc>
          <w:tcPr>
            <w:tcW w:w="3209" w:type="dxa"/>
          </w:tcPr>
          <w:p w:rsidR="0069104C" w:rsidRPr="00FC7806" w:rsidRDefault="0069104C" w:rsidP="00E271BB">
            <w:pPr>
              <w:rPr>
                <w:b/>
                <w:sz w:val="24"/>
                <w:szCs w:val="24"/>
              </w:rPr>
            </w:pPr>
            <w:r w:rsidRPr="00FC7806">
              <w:rPr>
                <w:b/>
                <w:sz w:val="24"/>
                <w:szCs w:val="24"/>
              </w:rPr>
              <w:t>Indikationer</w:t>
            </w:r>
          </w:p>
        </w:tc>
        <w:tc>
          <w:tcPr>
            <w:tcW w:w="3209" w:type="dxa"/>
          </w:tcPr>
          <w:p w:rsidR="0069104C" w:rsidRPr="001D7E84" w:rsidRDefault="001D7E84" w:rsidP="00E271BB">
            <w:pPr>
              <w:rPr>
                <w:sz w:val="20"/>
                <w:szCs w:val="24"/>
              </w:rPr>
            </w:pPr>
            <w:r>
              <w:rPr>
                <w:sz w:val="20"/>
                <w:szCs w:val="24"/>
              </w:rPr>
              <w:t>Lokalanalgesi hos børn (nervøsitet)</w:t>
            </w:r>
            <w:r>
              <w:rPr>
                <w:sz w:val="20"/>
                <w:szCs w:val="24"/>
              </w:rPr>
              <w:br/>
              <w:t>Ekstraktion af løsnede incisiver</w:t>
            </w:r>
          </w:p>
        </w:tc>
        <w:tc>
          <w:tcPr>
            <w:tcW w:w="3209" w:type="dxa"/>
          </w:tcPr>
          <w:p w:rsidR="0069104C" w:rsidRPr="00F6200F" w:rsidRDefault="00F6200F" w:rsidP="00E271BB">
            <w:pPr>
              <w:rPr>
                <w:sz w:val="20"/>
                <w:szCs w:val="24"/>
              </w:rPr>
            </w:pPr>
            <w:r>
              <w:rPr>
                <w:sz w:val="20"/>
                <w:szCs w:val="24"/>
              </w:rPr>
              <w:t>Kirurgiske indgreb der fordrer generel anæstesi</w:t>
            </w:r>
          </w:p>
        </w:tc>
      </w:tr>
      <w:tr w:rsidR="0069104C" w:rsidRPr="00FC7806" w:rsidTr="0069104C">
        <w:tc>
          <w:tcPr>
            <w:tcW w:w="3209" w:type="dxa"/>
          </w:tcPr>
          <w:p w:rsidR="0069104C" w:rsidRPr="00FC7806" w:rsidRDefault="0069104C" w:rsidP="00E271BB">
            <w:pPr>
              <w:rPr>
                <w:b/>
                <w:sz w:val="24"/>
                <w:szCs w:val="24"/>
              </w:rPr>
            </w:pPr>
            <w:r w:rsidRPr="00FC7806">
              <w:rPr>
                <w:b/>
                <w:sz w:val="24"/>
                <w:szCs w:val="24"/>
              </w:rPr>
              <w:t>Kontraindikationer</w:t>
            </w:r>
          </w:p>
        </w:tc>
        <w:tc>
          <w:tcPr>
            <w:tcW w:w="3209" w:type="dxa"/>
          </w:tcPr>
          <w:p w:rsidR="0069104C" w:rsidRDefault="001D7E84" w:rsidP="00E271BB">
            <w:pPr>
              <w:rPr>
                <w:sz w:val="20"/>
                <w:szCs w:val="24"/>
              </w:rPr>
            </w:pPr>
            <w:r>
              <w:rPr>
                <w:sz w:val="20"/>
                <w:szCs w:val="24"/>
              </w:rPr>
              <w:t>Psykotiske patienter</w:t>
            </w:r>
          </w:p>
          <w:p w:rsidR="001D7E84" w:rsidRPr="001D7E84" w:rsidRDefault="001D7E84" w:rsidP="00E271BB">
            <w:pPr>
              <w:rPr>
                <w:sz w:val="20"/>
                <w:szCs w:val="24"/>
              </w:rPr>
            </w:pPr>
            <w:r>
              <w:rPr>
                <w:sz w:val="20"/>
                <w:szCs w:val="24"/>
              </w:rPr>
              <w:t>KOL</w:t>
            </w:r>
            <w:r>
              <w:rPr>
                <w:sz w:val="20"/>
                <w:szCs w:val="24"/>
              </w:rPr>
              <w:br/>
              <w:t>Alkoholisme</w:t>
            </w:r>
            <w:r>
              <w:rPr>
                <w:sz w:val="20"/>
                <w:szCs w:val="24"/>
              </w:rPr>
              <w:br/>
              <w:t>Graviditet</w:t>
            </w:r>
          </w:p>
        </w:tc>
        <w:tc>
          <w:tcPr>
            <w:tcW w:w="3209" w:type="dxa"/>
          </w:tcPr>
          <w:p w:rsidR="0069104C" w:rsidRPr="00F6200F" w:rsidRDefault="00F6200F" w:rsidP="00E271BB">
            <w:pPr>
              <w:rPr>
                <w:sz w:val="20"/>
                <w:szCs w:val="24"/>
              </w:rPr>
            </w:pPr>
            <w:r>
              <w:rPr>
                <w:sz w:val="20"/>
                <w:szCs w:val="24"/>
              </w:rPr>
              <w:t>Feber</w:t>
            </w:r>
            <w:r>
              <w:rPr>
                <w:sz w:val="20"/>
                <w:szCs w:val="24"/>
              </w:rPr>
              <w:br/>
            </w:r>
            <w:proofErr w:type="spellStart"/>
            <w:r>
              <w:rPr>
                <w:sz w:val="20"/>
                <w:szCs w:val="24"/>
              </w:rPr>
              <w:t>Hypertermi</w:t>
            </w:r>
            <w:proofErr w:type="spellEnd"/>
            <w:r>
              <w:rPr>
                <w:sz w:val="20"/>
                <w:szCs w:val="24"/>
              </w:rPr>
              <w:t xml:space="preserve"> (hedeslag)</w:t>
            </w:r>
          </w:p>
        </w:tc>
      </w:tr>
      <w:tr w:rsidR="0069104C" w:rsidRPr="00FC7806" w:rsidTr="0069104C">
        <w:tc>
          <w:tcPr>
            <w:tcW w:w="3209" w:type="dxa"/>
          </w:tcPr>
          <w:p w:rsidR="0069104C" w:rsidRPr="00FC7806" w:rsidRDefault="0069104C" w:rsidP="00E271BB">
            <w:pPr>
              <w:rPr>
                <w:b/>
                <w:sz w:val="24"/>
                <w:szCs w:val="24"/>
              </w:rPr>
            </w:pPr>
            <w:r w:rsidRPr="00FC7806">
              <w:rPr>
                <w:b/>
                <w:sz w:val="24"/>
                <w:szCs w:val="24"/>
              </w:rPr>
              <w:t>Bivirkninger</w:t>
            </w:r>
          </w:p>
        </w:tc>
        <w:tc>
          <w:tcPr>
            <w:tcW w:w="3209" w:type="dxa"/>
          </w:tcPr>
          <w:p w:rsidR="0069104C" w:rsidRPr="001D7E84" w:rsidRDefault="001D7E84" w:rsidP="00E271BB">
            <w:pPr>
              <w:rPr>
                <w:sz w:val="20"/>
                <w:szCs w:val="24"/>
              </w:rPr>
            </w:pPr>
            <w:proofErr w:type="spellStart"/>
            <w:r>
              <w:rPr>
                <w:sz w:val="20"/>
                <w:szCs w:val="24"/>
              </w:rPr>
              <w:t>Hypoxi</w:t>
            </w:r>
            <w:proofErr w:type="spellEnd"/>
            <w:r>
              <w:rPr>
                <w:sz w:val="20"/>
                <w:szCs w:val="24"/>
              </w:rPr>
              <w:t xml:space="preserve"> (iltmangel)</w:t>
            </w:r>
            <w:r>
              <w:rPr>
                <w:sz w:val="20"/>
                <w:szCs w:val="24"/>
              </w:rPr>
              <w:br/>
              <w:t>Bevidstløshed</w:t>
            </w:r>
            <w:r>
              <w:rPr>
                <w:sz w:val="20"/>
                <w:szCs w:val="24"/>
              </w:rPr>
              <w:br/>
              <w:t>Kvalme</w:t>
            </w:r>
          </w:p>
        </w:tc>
        <w:tc>
          <w:tcPr>
            <w:tcW w:w="3209" w:type="dxa"/>
          </w:tcPr>
          <w:p w:rsidR="0069104C" w:rsidRPr="00F6200F" w:rsidRDefault="00F6200F" w:rsidP="00E271BB">
            <w:pPr>
              <w:rPr>
                <w:sz w:val="20"/>
                <w:szCs w:val="24"/>
              </w:rPr>
            </w:pPr>
            <w:r>
              <w:rPr>
                <w:sz w:val="20"/>
                <w:szCs w:val="24"/>
              </w:rPr>
              <w:t>Antidiuretisk</w:t>
            </w:r>
            <w:r>
              <w:rPr>
                <w:sz w:val="20"/>
                <w:szCs w:val="24"/>
              </w:rPr>
              <w:br/>
              <w:t>Kvalme</w:t>
            </w:r>
            <w:r>
              <w:rPr>
                <w:sz w:val="20"/>
                <w:szCs w:val="24"/>
              </w:rPr>
              <w:br/>
              <w:t>Opkast</w:t>
            </w:r>
            <w:r>
              <w:rPr>
                <w:sz w:val="20"/>
                <w:szCs w:val="24"/>
              </w:rPr>
              <w:br/>
              <w:t>Nedsat puls (bradykardi)</w:t>
            </w:r>
            <w:r>
              <w:rPr>
                <w:sz w:val="20"/>
                <w:szCs w:val="24"/>
              </w:rPr>
              <w:br/>
            </w:r>
            <w:r>
              <w:rPr>
                <w:sz w:val="20"/>
                <w:szCs w:val="24"/>
              </w:rPr>
              <w:lastRenderedPageBreak/>
              <w:t xml:space="preserve">Hypotension </w:t>
            </w:r>
            <w:r>
              <w:rPr>
                <w:sz w:val="20"/>
                <w:szCs w:val="24"/>
              </w:rPr>
              <w:br/>
              <w:t>Leversvigt (sjælden!)</w:t>
            </w:r>
          </w:p>
        </w:tc>
      </w:tr>
      <w:tr w:rsidR="001D7E84" w:rsidRPr="00FC7806" w:rsidTr="0069104C">
        <w:tc>
          <w:tcPr>
            <w:tcW w:w="3209" w:type="dxa"/>
          </w:tcPr>
          <w:p w:rsidR="001D7E84" w:rsidRPr="00FC7806" w:rsidRDefault="001D7E84" w:rsidP="00E271BB">
            <w:pPr>
              <w:rPr>
                <w:b/>
                <w:sz w:val="24"/>
                <w:szCs w:val="24"/>
              </w:rPr>
            </w:pPr>
            <w:r>
              <w:rPr>
                <w:b/>
                <w:sz w:val="24"/>
                <w:szCs w:val="24"/>
              </w:rPr>
              <w:lastRenderedPageBreak/>
              <w:t>Interaktioner</w:t>
            </w:r>
          </w:p>
        </w:tc>
        <w:tc>
          <w:tcPr>
            <w:tcW w:w="3209" w:type="dxa"/>
          </w:tcPr>
          <w:p w:rsidR="001D7E84" w:rsidRPr="001D7E84" w:rsidRDefault="001D7E84" w:rsidP="001D7E84">
            <w:pPr>
              <w:rPr>
                <w:sz w:val="20"/>
                <w:szCs w:val="24"/>
              </w:rPr>
            </w:pPr>
            <w:r>
              <w:rPr>
                <w:sz w:val="20"/>
                <w:szCs w:val="24"/>
              </w:rPr>
              <w:t xml:space="preserve">… </w:t>
            </w:r>
          </w:p>
        </w:tc>
        <w:tc>
          <w:tcPr>
            <w:tcW w:w="3209" w:type="dxa"/>
          </w:tcPr>
          <w:p w:rsidR="001D7E84" w:rsidRPr="00F6200F" w:rsidRDefault="00F6200F" w:rsidP="00E271BB">
            <w:pPr>
              <w:rPr>
                <w:sz w:val="20"/>
                <w:szCs w:val="24"/>
              </w:rPr>
            </w:pPr>
            <w:r>
              <w:rPr>
                <w:sz w:val="20"/>
                <w:szCs w:val="24"/>
              </w:rPr>
              <w:t xml:space="preserve">Forstærker: </w:t>
            </w:r>
            <w:r>
              <w:rPr>
                <w:sz w:val="20"/>
                <w:szCs w:val="24"/>
              </w:rPr>
              <w:br/>
              <w:t>Non-</w:t>
            </w:r>
            <w:proofErr w:type="spellStart"/>
            <w:r>
              <w:rPr>
                <w:sz w:val="20"/>
                <w:szCs w:val="24"/>
              </w:rPr>
              <w:t>depolariserende</w:t>
            </w:r>
            <w:proofErr w:type="spellEnd"/>
            <w:r>
              <w:rPr>
                <w:sz w:val="20"/>
                <w:szCs w:val="24"/>
              </w:rPr>
              <w:t xml:space="preserve"> </w:t>
            </w:r>
            <w:proofErr w:type="spellStart"/>
            <w:r>
              <w:rPr>
                <w:sz w:val="20"/>
                <w:szCs w:val="24"/>
              </w:rPr>
              <w:t>muskalrelaksantia</w:t>
            </w:r>
            <w:proofErr w:type="spellEnd"/>
          </w:p>
        </w:tc>
      </w:tr>
      <w:tr w:rsidR="0069104C" w:rsidRPr="00FC7806" w:rsidTr="0069104C">
        <w:tc>
          <w:tcPr>
            <w:tcW w:w="3209" w:type="dxa"/>
          </w:tcPr>
          <w:p w:rsidR="0069104C" w:rsidRPr="00FC7806" w:rsidRDefault="0069104C" w:rsidP="00E271BB">
            <w:pPr>
              <w:rPr>
                <w:b/>
                <w:sz w:val="24"/>
                <w:szCs w:val="24"/>
              </w:rPr>
            </w:pPr>
            <w:r w:rsidRPr="00FC7806">
              <w:rPr>
                <w:b/>
                <w:sz w:val="24"/>
                <w:szCs w:val="24"/>
              </w:rPr>
              <w:t>Administration</w:t>
            </w:r>
          </w:p>
        </w:tc>
        <w:tc>
          <w:tcPr>
            <w:tcW w:w="3209" w:type="dxa"/>
          </w:tcPr>
          <w:p w:rsidR="0069104C" w:rsidRPr="001D7E84" w:rsidRDefault="001D7E84" w:rsidP="00E271BB">
            <w:pPr>
              <w:rPr>
                <w:sz w:val="20"/>
                <w:szCs w:val="24"/>
              </w:rPr>
            </w:pPr>
            <w:r>
              <w:rPr>
                <w:sz w:val="20"/>
                <w:szCs w:val="24"/>
              </w:rPr>
              <w:t>Inhalering</w:t>
            </w:r>
            <w:r>
              <w:rPr>
                <w:sz w:val="20"/>
                <w:szCs w:val="24"/>
              </w:rPr>
              <w:br/>
              <w:t>MÅ ALDRIG GIVES SOM 100 % DA PATIENT SKAL HAVE CO</w:t>
            </w:r>
            <w:r>
              <w:rPr>
                <w:sz w:val="20"/>
                <w:szCs w:val="24"/>
                <w:vertAlign w:val="subscript"/>
              </w:rPr>
              <w:t>2</w:t>
            </w:r>
          </w:p>
        </w:tc>
        <w:tc>
          <w:tcPr>
            <w:tcW w:w="3209" w:type="dxa"/>
          </w:tcPr>
          <w:p w:rsidR="0069104C" w:rsidRPr="00F6200F" w:rsidRDefault="00F6200F" w:rsidP="00E271BB">
            <w:pPr>
              <w:rPr>
                <w:sz w:val="20"/>
                <w:szCs w:val="24"/>
              </w:rPr>
            </w:pPr>
            <w:r>
              <w:rPr>
                <w:sz w:val="20"/>
                <w:szCs w:val="24"/>
              </w:rPr>
              <w:t>Inhalering</w:t>
            </w:r>
          </w:p>
        </w:tc>
      </w:tr>
      <w:tr w:rsidR="0069104C" w:rsidRPr="00FC7806" w:rsidTr="0069104C">
        <w:tc>
          <w:tcPr>
            <w:tcW w:w="3209" w:type="dxa"/>
          </w:tcPr>
          <w:p w:rsidR="0069104C" w:rsidRPr="00FC7806" w:rsidRDefault="0069104C" w:rsidP="00E271BB">
            <w:pPr>
              <w:rPr>
                <w:b/>
                <w:sz w:val="24"/>
                <w:szCs w:val="24"/>
              </w:rPr>
            </w:pPr>
            <w:r w:rsidRPr="00FC7806">
              <w:rPr>
                <w:b/>
                <w:sz w:val="24"/>
                <w:szCs w:val="24"/>
              </w:rPr>
              <w:t xml:space="preserve">Kinetik </w:t>
            </w:r>
            <w:r w:rsidR="001D7E84">
              <w:rPr>
                <w:b/>
                <w:sz w:val="24"/>
                <w:szCs w:val="24"/>
              </w:rPr>
              <w:t>og dynamik</w:t>
            </w:r>
          </w:p>
        </w:tc>
        <w:tc>
          <w:tcPr>
            <w:tcW w:w="3209" w:type="dxa"/>
          </w:tcPr>
          <w:p w:rsidR="001D7E84" w:rsidRDefault="001D7E84" w:rsidP="00E271BB">
            <w:pPr>
              <w:rPr>
                <w:sz w:val="20"/>
                <w:szCs w:val="24"/>
              </w:rPr>
            </w:pPr>
            <w:r w:rsidRPr="001D7E84">
              <w:rPr>
                <w:sz w:val="20"/>
                <w:szCs w:val="24"/>
                <w:u w:val="single"/>
              </w:rPr>
              <w:t>Blod:gas koefficient</w:t>
            </w:r>
            <w:r>
              <w:rPr>
                <w:sz w:val="20"/>
                <w:szCs w:val="24"/>
                <w:u w:val="single"/>
              </w:rPr>
              <w:br/>
            </w:r>
            <w:r>
              <w:rPr>
                <w:sz w:val="20"/>
                <w:szCs w:val="24"/>
              </w:rPr>
              <w:t xml:space="preserve">Lav </w:t>
            </w:r>
            <w:r w:rsidRPr="001D7E84">
              <w:rPr>
                <w:sz w:val="20"/>
                <w:szCs w:val="24"/>
              </w:rPr>
              <w:sym w:font="Wingdings" w:char="F0E0"/>
            </w:r>
            <w:r>
              <w:rPr>
                <w:sz w:val="20"/>
                <w:szCs w:val="24"/>
              </w:rPr>
              <w:t xml:space="preserve"> hurtig induktion/udluftning</w:t>
            </w:r>
          </w:p>
          <w:p w:rsidR="001D7E84" w:rsidRPr="001D7E84" w:rsidRDefault="001D7E84" w:rsidP="00E271BB">
            <w:pPr>
              <w:rPr>
                <w:sz w:val="20"/>
                <w:szCs w:val="24"/>
                <w:u w:val="single"/>
              </w:rPr>
            </w:pPr>
          </w:p>
          <w:p w:rsidR="0069104C" w:rsidRPr="001D7E84" w:rsidRDefault="001D7E84" w:rsidP="00E271BB">
            <w:pPr>
              <w:rPr>
                <w:sz w:val="20"/>
                <w:szCs w:val="24"/>
              </w:rPr>
            </w:pPr>
            <w:r w:rsidRPr="001D7E84">
              <w:rPr>
                <w:sz w:val="20"/>
                <w:szCs w:val="24"/>
                <w:u w:val="single"/>
              </w:rPr>
              <w:t>MAC</w:t>
            </w:r>
            <w:r>
              <w:rPr>
                <w:sz w:val="20"/>
                <w:szCs w:val="24"/>
                <w:u w:val="single"/>
              </w:rPr>
              <w:br/>
            </w:r>
            <w:r>
              <w:rPr>
                <w:sz w:val="20"/>
                <w:szCs w:val="24"/>
              </w:rPr>
              <w:t>Over 100 % - generel anæstesi kan ved atmosfærisk tryk ikke opnås (derfor insufficient under kirurgiske indgreb)</w:t>
            </w:r>
            <w:r>
              <w:rPr>
                <w:sz w:val="20"/>
                <w:szCs w:val="24"/>
              </w:rPr>
              <w:br/>
            </w:r>
          </w:p>
        </w:tc>
        <w:tc>
          <w:tcPr>
            <w:tcW w:w="3209" w:type="dxa"/>
          </w:tcPr>
          <w:p w:rsidR="0069104C" w:rsidRPr="00F6200F" w:rsidRDefault="00F6200F" w:rsidP="00E271BB">
            <w:pPr>
              <w:rPr>
                <w:sz w:val="20"/>
                <w:szCs w:val="24"/>
              </w:rPr>
            </w:pPr>
            <w:r>
              <w:rPr>
                <w:sz w:val="20"/>
                <w:szCs w:val="24"/>
              </w:rPr>
              <w:t xml:space="preserve">Som al anden gasanæstetika (desuden </w:t>
            </w:r>
            <w:proofErr w:type="spellStart"/>
            <w:r>
              <w:rPr>
                <w:sz w:val="20"/>
                <w:szCs w:val="24"/>
              </w:rPr>
              <w:t>levermetabolsime</w:t>
            </w:r>
            <w:proofErr w:type="spellEnd"/>
            <w:r>
              <w:rPr>
                <w:sz w:val="20"/>
                <w:szCs w:val="24"/>
              </w:rPr>
              <w:t xml:space="preserve"> gennem CYP-systemet)</w:t>
            </w:r>
          </w:p>
        </w:tc>
      </w:tr>
    </w:tbl>
    <w:p w:rsidR="00682B64" w:rsidRPr="00C2685E" w:rsidRDefault="00C2685E" w:rsidP="00682B64">
      <w:r>
        <w:br/>
      </w:r>
      <w:r w:rsidR="00682B64" w:rsidRPr="00C2685E">
        <w:br/>
      </w:r>
    </w:p>
    <w:p w:rsidR="00682B64" w:rsidRPr="00C2685E" w:rsidRDefault="00682B64" w:rsidP="00682B64"/>
    <w:p w:rsidR="00191121" w:rsidRPr="00C2685E" w:rsidRDefault="00396B3F" w:rsidP="00682B64">
      <w:r w:rsidRPr="00C2685E">
        <w:br/>
      </w:r>
      <w:r w:rsidR="00191121" w:rsidRPr="00C2685E">
        <w:rPr>
          <w:u w:val="single"/>
        </w:rPr>
        <w:br/>
      </w:r>
    </w:p>
    <w:p w:rsidR="008C23D1" w:rsidRPr="00C2685E" w:rsidRDefault="008C23D1" w:rsidP="00985557">
      <w:pPr>
        <w:rPr>
          <w:i/>
        </w:rPr>
      </w:pPr>
    </w:p>
    <w:p w:rsidR="00E57F17" w:rsidRPr="00C2685E" w:rsidRDefault="008C23D1" w:rsidP="00191121">
      <w:pPr>
        <w:rPr>
          <w:u w:val="single"/>
        </w:rPr>
      </w:pPr>
      <w:r w:rsidRPr="00C2685E">
        <w:rPr>
          <w:i/>
        </w:rPr>
        <w:t xml:space="preserve">      </w:t>
      </w:r>
      <w:r w:rsidR="00396B3F" w:rsidRPr="00C2685E">
        <w:br/>
      </w:r>
      <w:r w:rsidR="00396B3F" w:rsidRPr="00C2685E">
        <w:br/>
        <w:t xml:space="preserve"> </w:t>
      </w:r>
      <w:r w:rsidR="00396B3F" w:rsidRPr="00C2685E">
        <w:br/>
      </w:r>
    </w:p>
    <w:p w:rsidR="00E57F17" w:rsidRPr="00C2685E" w:rsidRDefault="00E57F17" w:rsidP="00985557">
      <w:pPr>
        <w:rPr>
          <w:b/>
        </w:rPr>
      </w:pPr>
    </w:p>
    <w:p w:rsidR="00E57F17" w:rsidRPr="00C2685E" w:rsidRDefault="00E57F17" w:rsidP="00985557">
      <w:pPr>
        <w:rPr>
          <w:b/>
        </w:rPr>
      </w:pPr>
    </w:p>
    <w:p w:rsidR="00E57F17" w:rsidRPr="00C2685E" w:rsidRDefault="00E57F17" w:rsidP="00985557">
      <w:pPr>
        <w:rPr>
          <w:b/>
        </w:rPr>
      </w:pPr>
    </w:p>
    <w:p w:rsidR="00E57F17" w:rsidRPr="00C2685E" w:rsidRDefault="00E57F17" w:rsidP="00985557">
      <w:pPr>
        <w:rPr>
          <w:b/>
        </w:rPr>
      </w:pPr>
    </w:p>
    <w:p w:rsidR="00E57F17" w:rsidRPr="00C2685E" w:rsidRDefault="00E57F17" w:rsidP="00985557">
      <w:pPr>
        <w:rPr>
          <w:b/>
        </w:rPr>
      </w:pPr>
    </w:p>
    <w:p w:rsidR="008D7B13" w:rsidRPr="008D7B13" w:rsidRDefault="008D7B13" w:rsidP="008D7B13">
      <w:bookmarkStart w:id="0" w:name="_GoBack"/>
      <w:bookmarkEnd w:id="0"/>
    </w:p>
    <w:sectPr w:rsidR="008D7B13" w:rsidRPr="008D7B13">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50C60"/>
    <w:multiLevelType w:val="hybridMultilevel"/>
    <w:tmpl w:val="F884698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04A72869"/>
    <w:multiLevelType w:val="hybridMultilevel"/>
    <w:tmpl w:val="D948518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115B1117"/>
    <w:multiLevelType w:val="hybridMultilevel"/>
    <w:tmpl w:val="CB681490"/>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3" w15:restartNumberingAfterBreak="0">
    <w:nsid w:val="13F14ADF"/>
    <w:multiLevelType w:val="hybridMultilevel"/>
    <w:tmpl w:val="0A4091BA"/>
    <w:lvl w:ilvl="0" w:tplc="0F80FF56">
      <w:numFmt w:val="bullet"/>
      <w:lvlText w:val=""/>
      <w:lvlJc w:val="left"/>
      <w:pPr>
        <w:ind w:left="1800" w:hanging="360"/>
      </w:pPr>
      <w:rPr>
        <w:rFonts w:ascii="Wingdings" w:eastAsiaTheme="minorHAnsi" w:hAnsi="Wingdings" w:cstheme="minorBidi" w:hint="default"/>
      </w:rPr>
    </w:lvl>
    <w:lvl w:ilvl="1" w:tplc="04060003" w:tentative="1">
      <w:start w:val="1"/>
      <w:numFmt w:val="bullet"/>
      <w:lvlText w:val="o"/>
      <w:lvlJc w:val="left"/>
      <w:pPr>
        <w:ind w:left="2520" w:hanging="360"/>
      </w:pPr>
      <w:rPr>
        <w:rFonts w:ascii="Courier New" w:hAnsi="Courier New" w:cs="Courier New" w:hint="default"/>
      </w:rPr>
    </w:lvl>
    <w:lvl w:ilvl="2" w:tplc="04060005" w:tentative="1">
      <w:start w:val="1"/>
      <w:numFmt w:val="bullet"/>
      <w:lvlText w:val=""/>
      <w:lvlJc w:val="left"/>
      <w:pPr>
        <w:ind w:left="3240" w:hanging="360"/>
      </w:pPr>
      <w:rPr>
        <w:rFonts w:ascii="Wingdings" w:hAnsi="Wingdings" w:hint="default"/>
      </w:rPr>
    </w:lvl>
    <w:lvl w:ilvl="3" w:tplc="04060001" w:tentative="1">
      <w:start w:val="1"/>
      <w:numFmt w:val="bullet"/>
      <w:lvlText w:val=""/>
      <w:lvlJc w:val="left"/>
      <w:pPr>
        <w:ind w:left="3960" w:hanging="360"/>
      </w:pPr>
      <w:rPr>
        <w:rFonts w:ascii="Symbol" w:hAnsi="Symbol" w:hint="default"/>
      </w:rPr>
    </w:lvl>
    <w:lvl w:ilvl="4" w:tplc="04060003" w:tentative="1">
      <w:start w:val="1"/>
      <w:numFmt w:val="bullet"/>
      <w:lvlText w:val="o"/>
      <w:lvlJc w:val="left"/>
      <w:pPr>
        <w:ind w:left="4680" w:hanging="360"/>
      </w:pPr>
      <w:rPr>
        <w:rFonts w:ascii="Courier New" w:hAnsi="Courier New" w:cs="Courier New" w:hint="default"/>
      </w:rPr>
    </w:lvl>
    <w:lvl w:ilvl="5" w:tplc="04060005" w:tentative="1">
      <w:start w:val="1"/>
      <w:numFmt w:val="bullet"/>
      <w:lvlText w:val=""/>
      <w:lvlJc w:val="left"/>
      <w:pPr>
        <w:ind w:left="5400" w:hanging="360"/>
      </w:pPr>
      <w:rPr>
        <w:rFonts w:ascii="Wingdings" w:hAnsi="Wingdings" w:hint="default"/>
      </w:rPr>
    </w:lvl>
    <w:lvl w:ilvl="6" w:tplc="04060001" w:tentative="1">
      <w:start w:val="1"/>
      <w:numFmt w:val="bullet"/>
      <w:lvlText w:val=""/>
      <w:lvlJc w:val="left"/>
      <w:pPr>
        <w:ind w:left="6120" w:hanging="360"/>
      </w:pPr>
      <w:rPr>
        <w:rFonts w:ascii="Symbol" w:hAnsi="Symbol" w:hint="default"/>
      </w:rPr>
    </w:lvl>
    <w:lvl w:ilvl="7" w:tplc="04060003" w:tentative="1">
      <w:start w:val="1"/>
      <w:numFmt w:val="bullet"/>
      <w:lvlText w:val="o"/>
      <w:lvlJc w:val="left"/>
      <w:pPr>
        <w:ind w:left="6840" w:hanging="360"/>
      </w:pPr>
      <w:rPr>
        <w:rFonts w:ascii="Courier New" w:hAnsi="Courier New" w:cs="Courier New" w:hint="default"/>
      </w:rPr>
    </w:lvl>
    <w:lvl w:ilvl="8" w:tplc="04060005" w:tentative="1">
      <w:start w:val="1"/>
      <w:numFmt w:val="bullet"/>
      <w:lvlText w:val=""/>
      <w:lvlJc w:val="left"/>
      <w:pPr>
        <w:ind w:left="7560" w:hanging="360"/>
      </w:pPr>
      <w:rPr>
        <w:rFonts w:ascii="Wingdings" w:hAnsi="Wingdings" w:hint="default"/>
      </w:rPr>
    </w:lvl>
  </w:abstractNum>
  <w:abstractNum w:abstractNumId="4" w15:restartNumberingAfterBreak="0">
    <w:nsid w:val="1F6171E3"/>
    <w:multiLevelType w:val="hybridMultilevel"/>
    <w:tmpl w:val="E3443454"/>
    <w:lvl w:ilvl="0" w:tplc="D4043210">
      <w:numFmt w:val="bullet"/>
      <w:lvlText w:val="-"/>
      <w:lvlJc w:val="left"/>
      <w:pPr>
        <w:ind w:left="1800" w:hanging="360"/>
      </w:pPr>
      <w:rPr>
        <w:rFonts w:ascii="Calibri" w:eastAsiaTheme="minorHAnsi" w:hAnsi="Calibri" w:cs="Calibri" w:hint="default"/>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5" w15:restartNumberingAfterBreak="0">
    <w:nsid w:val="28864799"/>
    <w:multiLevelType w:val="hybridMultilevel"/>
    <w:tmpl w:val="0B32E9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34363B0E"/>
    <w:multiLevelType w:val="hybridMultilevel"/>
    <w:tmpl w:val="9456270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3BAC6EE2"/>
    <w:multiLevelType w:val="hybridMultilevel"/>
    <w:tmpl w:val="3B54761E"/>
    <w:lvl w:ilvl="0" w:tplc="D4043210">
      <w:numFmt w:val="bullet"/>
      <w:lvlText w:val="-"/>
      <w:lvlJc w:val="left"/>
      <w:pPr>
        <w:ind w:left="108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3BF44E41"/>
    <w:multiLevelType w:val="hybridMultilevel"/>
    <w:tmpl w:val="970C4DD8"/>
    <w:lvl w:ilvl="0" w:tplc="D4043210">
      <w:numFmt w:val="bullet"/>
      <w:lvlText w:val="-"/>
      <w:lvlJc w:val="left"/>
      <w:pPr>
        <w:ind w:left="1080" w:hanging="360"/>
      </w:pPr>
      <w:rPr>
        <w:rFonts w:ascii="Calibri" w:eastAsiaTheme="minorHAnsi" w:hAnsi="Calibri" w:cs="Calibri"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9" w15:restartNumberingAfterBreak="0">
    <w:nsid w:val="4484348E"/>
    <w:multiLevelType w:val="hybridMultilevel"/>
    <w:tmpl w:val="CA268A4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44BD52CD"/>
    <w:multiLevelType w:val="hybridMultilevel"/>
    <w:tmpl w:val="921CA7A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4DED3965"/>
    <w:multiLevelType w:val="hybridMultilevel"/>
    <w:tmpl w:val="F88CCDF0"/>
    <w:lvl w:ilvl="0" w:tplc="D4043210">
      <w:numFmt w:val="bullet"/>
      <w:lvlText w:val="-"/>
      <w:lvlJc w:val="left"/>
      <w:pPr>
        <w:ind w:left="1080" w:hanging="360"/>
      </w:pPr>
      <w:rPr>
        <w:rFonts w:ascii="Calibri" w:eastAsiaTheme="minorHAnsi" w:hAnsi="Calibri" w:cs="Calibri"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2" w15:restartNumberingAfterBreak="0">
    <w:nsid w:val="4FD736B3"/>
    <w:multiLevelType w:val="hybridMultilevel"/>
    <w:tmpl w:val="29342592"/>
    <w:lvl w:ilvl="0" w:tplc="78D043B0">
      <w:start w:val="4"/>
      <w:numFmt w:val="bullet"/>
      <w:lvlText w:val=""/>
      <w:lvlJc w:val="left"/>
      <w:pPr>
        <w:ind w:left="1800" w:hanging="360"/>
      </w:pPr>
      <w:rPr>
        <w:rFonts w:ascii="Wingdings" w:eastAsiaTheme="minorHAnsi" w:hAnsi="Wingdings" w:cstheme="minorBidi" w:hint="default"/>
      </w:rPr>
    </w:lvl>
    <w:lvl w:ilvl="1" w:tplc="04060003" w:tentative="1">
      <w:start w:val="1"/>
      <w:numFmt w:val="bullet"/>
      <w:lvlText w:val="o"/>
      <w:lvlJc w:val="left"/>
      <w:pPr>
        <w:ind w:left="2520" w:hanging="360"/>
      </w:pPr>
      <w:rPr>
        <w:rFonts w:ascii="Courier New" w:hAnsi="Courier New" w:cs="Courier New" w:hint="default"/>
      </w:rPr>
    </w:lvl>
    <w:lvl w:ilvl="2" w:tplc="04060005" w:tentative="1">
      <w:start w:val="1"/>
      <w:numFmt w:val="bullet"/>
      <w:lvlText w:val=""/>
      <w:lvlJc w:val="left"/>
      <w:pPr>
        <w:ind w:left="3240" w:hanging="360"/>
      </w:pPr>
      <w:rPr>
        <w:rFonts w:ascii="Wingdings" w:hAnsi="Wingdings" w:hint="default"/>
      </w:rPr>
    </w:lvl>
    <w:lvl w:ilvl="3" w:tplc="04060001" w:tentative="1">
      <w:start w:val="1"/>
      <w:numFmt w:val="bullet"/>
      <w:lvlText w:val=""/>
      <w:lvlJc w:val="left"/>
      <w:pPr>
        <w:ind w:left="3960" w:hanging="360"/>
      </w:pPr>
      <w:rPr>
        <w:rFonts w:ascii="Symbol" w:hAnsi="Symbol" w:hint="default"/>
      </w:rPr>
    </w:lvl>
    <w:lvl w:ilvl="4" w:tplc="04060003" w:tentative="1">
      <w:start w:val="1"/>
      <w:numFmt w:val="bullet"/>
      <w:lvlText w:val="o"/>
      <w:lvlJc w:val="left"/>
      <w:pPr>
        <w:ind w:left="4680" w:hanging="360"/>
      </w:pPr>
      <w:rPr>
        <w:rFonts w:ascii="Courier New" w:hAnsi="Courier New" w:cs="Courier New" w:hint="default"/>
      </w:rPr>
    </w:lvl>
    <w:lvl w:ilvl="5" w:tplc="04060005" w:tentative="1">
      <w:start w:val="1"/>
      <w:numFmt w:val="bullet"/>
      <w:lvlText w:val=""/>
      <w:lvlJc w:val="left"/>
      <w:pPr>
        <w:ind w:left="5400" w:hanging="360"/>
      </w:pPr>
      <w:rPr>
        <w:rFonts w:ascii="Wingdings" w:hAnsi="Wingdings" w:hint="default"/>
      </w:rPr>
    </w:lvl>
    <w:lvl w:ilvl="6" w:tplc="04060001" w:tentative="1">
      <w:start w:val="1"/>
      <w:numFmt w:val="bullet"/>
      <w:lvlText w:val=""/>
      <w:lvlJc w:val="left"/>
      <w:pPr>
        <w:ind w:left="6120" w:hanging="360"/>
      </w:pPr>
      <w:rPr>
        <w:rFonts w:ascii="Symbol" w:hAnsi="Symbol" w:hint="default"/>
      </w:rPr>
    </w:lvl>
    <w:lvl w:ilvl="7" w:tplc="04060003" w:tentative="1">
      <w:start w:val="1"/>
      <w:numFmt w:val="bullet"/>
      <w:lvlText w:val="o"/>
      <w:lvlJc w:val="left"/>
      <w:pPr>
        <w:ind w:left="6840" w:hanging="360"/>
      </w:pPr>
      <w:rPr>
        <w:rFonts w:ascii="Courier New" w:hAnsi="Courier New" w:cs="Courier New" w:hint="default"/>
      </w:rPr>
    </w:lvl>
    <w:lvl w:ilvl="8" w:tplc="04060005" w:tentative="1">
      <w:start w:val="1"/>
      <w:numFmt w:val="bullet"/>
      <w:lvlText w:val=""/>
      <w:lvlJc w:val="left"/>
      <w:pPr>
        <w:ind w:left="7560" w:hanging="360"/>
      </w:pPr>
      <w:rPr>
        <w:rFonts w:ascii="Wingdings" w:hAnsi="Wingdings" w:hint="default"/>
      </w:rPr>
    </w:lvl>
  </w:abstractNum>
  <w:abstractNum w:abstractNumId="13" w15:restartNumberingAfterBreak="0">
    <w:nsid w:val="568F625B"/>
    <w:multiLevelType w:val="hybridMultilevel"/>
    <w:tmpl w:val="E1201E5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6AC67E44"/>
    <w:multiLevelType w:val="hybridMultilevel"/>
    <w:tmpl w:val="F192F23A"/>
    <w:lvl w:ilvl="0" w:tplc="87400CA6">
      <w:start w:val="4"/>
      <w:numFmt w:val="bullet"/>
      <w:lvlText w:val="-"/>
      <w:lvlJc w:val="left"/>
      <w:pPr>
        <w:ind w:left="1440" w:hanging="360"/>
      </w:pPr>
      <w:rPr>
        <w:rFonts w:ascii="Calibri" w:eastAsiaTheme="minorHAnsi" w:hAnsi="Calibri" w:cs="Calibri" w:hint="default"/>
      </w:rPr>
    </w:lvl>
    <w:lvl w:ilvl="1" w:tplc="D9FE892C">
      <w:numFmt w:val="bullet"/>
      <w:lvlText w:val=""/>
      <w:lvlJc w:val="left"/>
      <w:pPr>
        <w:ind w:left="2160" w:hanging="360"/>
      </w:pPr>
      <w:rPr>
        <w:rFonts w:ascii="Wingdings" w:eastAsiaTheme="minorHAnsi" w:hAnsi="Wingdings" w:cstheme="minorBidi" w:hint="default"/>
        <w:sz w:val="16"/>
        <w:szCs w:val="16"/>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15" w15:restartNumberingAfterBreak="0">
    <w:nsid w:val="6BDF1160"/>
    <w:multiLevelType w:val="hybridMultilevel"/>
    <w:tmpl w:val="B8D0837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780B03E5"/>
    <w:multiLevelType w:val="hybridMultilevel"/>
    <w:tmpl w:val="15B62602"/>
    <w:lvl w:ilvl="0" w:tplc="D4043210">
      <w:numFmt w:val="bullet"/>
      <w:lvlText w:val="-"/>
      <w:lvlJc w:val="left"/>
      <w:pPr>
        <w:ind w:left="1080" w:hanging="360"/>
      </w:pPr>
      <w:rPr>
        <w:rFonts w:ascii="Calibri" w:eastAsiaTheme="minorHAnsi" w:hAnsi="Calibri" w:cs="Calibri"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7" w15:restartNumberingAfterBreak="0">
    <w:nsid w:val="7D090843"/>
    <w:multiLevelType w:val="hybridMultilevel"/>
    <w:tmpl w:val="BDCE21CA"/>
    <w:lvl w:ilvl="0" w:tplc="AB0C6FBA">
      <w:start w:val="4"/>
      <w:numFmt w:val="bullet"/>
      <w:lvlText w:val=""/>
      <w:lvlJc w:val="left"/>
      <w:pPr>
        <w:ind w:left="1800" w:hanging="360"/>
      </w:pPr>
      <w:rPr>
        <w:rFonts w:ascii="Wingdings" w:eastAsiaTheme="minorHAnsi" w:hAnsi="Wingdings" w:cstheme="minorBidi" w:hint="default"/>
      </w:rPr>
    </w:lvl>
    <w:lvl w:ilvl="1" w:tplc="04060003" w:tentative="1">
      <w:start w:val="1"/>
      <w:numFmt w:val="bullet"/>
      <w:lvlText w:val="o"/>
      <w:lvlJc w:val="left"/>
      <w:pPr>
        <w:ind w:left="2520" w:hanging="360"/>
      </w:pPr>
      <w:rPr>
        <w:rFonts w:ascii="Courier New" w:hAnsi="Courier New" w:cs="Courier New" w:hint="default"/>
      </w:rPr>
    </w:lvl>
    <w:lvl w:ilvl="2" w:tplc="04060005" w:tentative="1">
      <w:start w:val="1"/>
      <w:numFmt w:val="bullet"/>
      <w:lvlText w:val=""/>
      <w:lvlJc w:val="left"/>
      <w:pPr>
        <w:ind w:left="3240" w:hanging="360"/>
      </w:pPr>
      <w:rPr>
        <w:rFonts w:ascii="Wingdings" w:hAnsi="Wingdings" w:hint="default"/>
      </w:rPr>
    </w:lvl>
    <w:lvl w:ilvl="3" w:tplc="04060001" w:tentative="1">
      <w:start w:val="1"/>
      <w:numFmt w:val="bullet"/>
      <w:lvlText w:val=""/>
      <w:lvlJc w:val="left"/>
      <w:pPr>
        <w:ind w:left="3960" w:hanging="360"/>
      </w:pPr>
      <w:rPr>
        <w:rFonts w:ascii="Symbol" w:hAnsi="Symbol" w:hint="default"/>
      </w:rPr>
    </w:lvl>
    <w:lvl w:ilvl="4" w:tplc="04060003" w:tentative="1">
      <w:start w:val="1"/>
      <w:numFmt w:val="bullet"/>
      <w:lvlText w:val="o"/>
      <w:lvlJc w:val="left"/>
      <w:pPr>
        <w:ind w:left="4680" w:hanging="360"/>
      </w:pPr>
      <w:rPr>
        <w:rFonts w:ascii="Courier New" w:hAnsi="Courier New" w:cs="Courier New" w:hint="default"/>
      </w:rPr>
    </w:lvl>
    <w:lvl w:ilvl="5" w:tplc="04060005" w:tentative="1">
      <w:start w:val="1"/>
      <w:numFmt w:val="bullet"/>
      <w:lvlText w:val=""/>
      <w:lvlJc w:val="left"/>
      <w:pPr>
        <w:ind w:left="5400" w:hanging="360"/>
      </w:pPr>
      <w:rPr>
        <w:rFonts w:ascii="Wingdings" w:hAnsi="Wingdings" w:hint="default"/>
      </w:rPr>
    </w:lvl>
    <w:lvl w:ilvl="6" w:tplc="04060001" w:tentative="1">
      <w:start w:val="1"/>
      <w:numFmt w:val="bullet"/>
      <w:lvlText w:val=""/>
      <w:lvlJc w:val="left"/>
      <w:pPr>
        <w:ind w:left="6120" w:hanging="360"/>
      </w:pPr>
      <w:rPr>
        <w:rFonts w:ascii="Symbol" w:hAnsi="Symbol" w:hint="default"/>
      </w:rPr>
    </w:lvl>
    <w:lvl w:ilvl="7" w:tplc="04060003" w:tentative="1">
      <w:start w:val="1"/>
      <w:numFmt w:val="bullet"/>
      <w:lvlText w:val="o"/>
      <w:lvlJc w:val="left"/>
      <w:pPr>
        <w:ind w:left="6840" w:hanging="360"/>
      </w:pPr>
      <w:rPr>
        <w:rFonts w:ascii="Courier New" w:hAnsi="Courier New" w:cs="Courier New" w:hint="default"/>
      </w:rPr>
    </w:lvl>
    <w:lvl w:ilvl="8" w:tplc="04060005" w:tentative="1">
      <w:start w:val="1"/>
      <w:numFmt w:val="bullet"/>
      <w:lvlText w:val=""/>
      <w:lvlJc w:val="left"/>
      <w:pPr>
        <w:ind w:left="7560" w:hanging="360"/>
      </w:pPr>
      <w:rPr>
        <w:rFonts w:ascii="Wingdings" w:hAnsi="Wingdings" w:hint="default"/>
      </w:rPr>
    </w:lvl>
  </w:abstractNum>
  <w:num w:numId="1">
    <w:abstractNumId w:val="0"/>
  </w:num>
  <w:num w:numId="2">
    <w:abstractNumId w:val="6"/>
  </w:num>
  <w:num w:numId="3">
    <w:abstractNumId w:val="1"/>
  </w:num>
  <w:num w:numId="4">
    <w:abstractNumId w:val="11"/>
  </w:num>
  <w:num w:numId="5">
    <w:abstractNumId w:val="5"/>
  </w:num>
  <w:num w:numId="6">
    <w:abstractNumId w:val="10"/>
  </w:num>
  <w:num w:numId="7">
    <w:abstractNumId w:val="13"/>
  </w:num>
  <w:num w:numId="8">
    <w:abstractNumId w:val="8"/>
  </w:num>
  <w:num w:numId="9">
    <w:abstractNumId w:val="16"/>
  </w:num>
  <w:num w:numId="10">
    <w:abstractNumId w:val="9"/>
  </w:num>
  <w:num w:numId="11">
    <w:abstractNumId w:val="4"/>
  </w:num>
  <w:num w:numId="12">
    <w:abstractNumId w:val="7"/>
  </w:num>
  <w:num w:numId="13">
    <w:abstractNumId w:val="2"/>
  </w:num>
  <w:num w:numId="14">
    <w:abstractNumId w:val="15"/>
  </w:num>
  <w:num w:numId="15">
    <w:abstractNumId w:val="14"/>
  </w:num>
  <w:num w:numId="16">
    <w:abstractNumId w:val="17"/>
  </w:num>
  <w:num w:numId="17">
    <w:abstractNumId w:val="1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072"/>
    <w:rsid w:val="00014072"/>
    <w:rsid w:val="0003241F"/>
    <w:rsid w:val="00086DF9"/>
    <w:rsid w:val="001329BD"/>
    <w:rsid w:val="0015330B"/>
    <w:rsid w:val="00191121"/>
    <w:rsid w:val="001D3117"/>
    <w:rsid w:val="001D7E84"/>
    <w:rsid w:val="0021327F"/>
    <w:rsid w:val="003260C5"/>
    <w:rsid w:val="00396B3F"/>
    <w:rsid w:val="004A7F25"/>
    <w:rsid w:val="004B578B"/>
    <w:rsid w:val="004D5C48"/>
    <w:rsid w:val="00504445"/>
    <w:rsid w:val="00507396"/>
    <w:rsid w:val="005649F0"/>
    <w:rsid w:val="00575D2E"/>
    <w:rsid w:val="005F2E3C"/>
    <w:rsid w:val="0061343A"/>
    <w:rsid w:val="00617D56"/>
    <w:rsid w:val="006573DF"/>
    <w:rsid w:val="00682B64"/>
    <w:rsid w:val="0069104C"/>
    <w:rsid w:val="006953CA"/>
    <w:rsid w:val="00747E24"/>
    <w:rsid w:val="00754406"/>
    <w:rsid w:val="0078218E"/>
    <w:rsid w:val="007F4417"/>
    <w:rsid w:val="007F7D15"/>
    <w:rsid w:val="008A5A79"/>
    <w:rsid w:val="008C23D1"/>
    <w:rsid w:val="008D7B13"/>
    <w:rsid w:val="008F352A"/>
    <w:rsid w:val="00985557"/>
    <w:rsid w:val="00A60074"/>
    <w:rsid w:val="00B2414B"/>
    <w:rsid w:val="00B439A8"/>
    <w:rsid w:val="00C2685E"/>
    <w:rsid w:val="00CD66C0"/>
    <w:rsid w:val="00D87ECA"/>
    <w:rsid w:val="00E35920"/>
    <w:rsid w:val="00E41625"/>
    <w:rsid w:val="00E57F17"/>
    <w:rsid w:val="00EE4454"/>
    <w:rsid w:val="00F6200F"/>
    <w:rsid w:val="00FE757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287E9"/>
  <w15:chartTrackingRefBased/>
  <w15:docId w15:val="{990A90F5-4F68-43C1-A926-88F113F86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014072"/>
    <w:pPr>
      <w:ind w:left="720"/>
      <w:contextualSpacing/>
    </w:pPr>
  </w:style>
  <w:style w:type="character" w:styleId="Pladsholdertekst">
    <w:name w:val="Placeholder Text"/>
    <w:basedOn w:val="Standardskrifttypeiafsnit"/>
    <w:uiPriority w:val="99"/>
    <w:semiHidden/>
    <w:rsid w:val="00504445"/>
    <w:rPr>
      <w:color w:val="808080"/>
    </w:rPr>
  </w:style>
  <w:style w:type="table" w:styleId="Tabel-Gitter">
    <w:name w:val="Table Grid"/>
    <w:basedOn w:val="Tabel-Normal"/>
    <w:uiPriority w:val="39"/>
    <w:rsid w:val="006910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1978</TotalTime>
  <Pages>5</Pages>
  <Words>1298</Words>
  <Characters>7923</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Jeppe Følner</dc:creator>
  <cp:keywords/>
  <dc:description/>
  <cp:lastModifiedBy>Jeppe Følner</cp:lastModifiedBy>
  <cp:revision>7</cp:revision>
  <dcterms:created xsi:type="dcterms:W3CDTF">2018-01-19T10:47:00Z</dcterms:created>
  <dcterms:modified xsi:type="dcterms:W3CDTF">2018-01-27T22:31:00Z</dcterms:modified>
</cp:coreProperties>
</file>