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4D4" w:rsidRDefault="00BC783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182880</wp:posOffset>
                </wp:positionV>
                <wp:extent cx="5969000" cy="1404620"/>
                <wp:effectExtent l="57150" t="38100" r="50800" b="80645"/>
                <wp:wrapSquare wrapText="bothSides"/>
                <wp:docPr id="21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7839" w:rsidRPr="00BC7839" w:rsidRDefault="00BC7839" w:rsidP="00BC7839">
                            <w:pPr>
                              <w:jc w:val="center"/>
                              <w:rPr>
                                <w:color w:val="FFFFFF" w:themeColor="background1"/>
                                <w:sz w:val="3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6"/>
                              </w:rPr>
                              <w:t>Klinisk farmakologi og bivirkninger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26" type="#_x0000_t202" style="position:absolute;margin-left:0;margin-top:14.4pt;width:470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" fillcolor="#4f7ac7 [3028]" stroked="f">
                <v:fill color2="#416fc3 [3172]" rotate="t" colors="0 #6083cb;.5 #3e70ca;1 #2e61ba" focus="100%" type="gradient">
                  <o:fill v:ext="view" type="gradientUnscaled"/>
                </v:fill>
                <v:shadow on="t" color="black" opacity="41287f" offset="0,1.5pt"/>
                <v:textbox style="mso-fit-shape-to-text:t">
                  <w:txbxContent>
                    <w:p w:rsidR="00BC7839" w:rsidRPr="00BC7839" w:rsidRDefault="00BC7839" w:rsidP="00BC7839">
                      <w:pPr>
                        <w:jc w:val="center"/>
                        <w:rPr>
                          <w:color w:val="FFFFFF" w:themeColor="background1"/>
                          <w:sz w:val="36"/>
                        </w:rPr>
                      </w:pPr>
                      <w:r>
                        <w:rPr>
                          <w:color w:val="FFFFFF" w:themeColor="background1"/>
                          <w:sz w:val="36"/>
                        </w:rPr>
                        <w:t>Klinisk farmakologi og bivirkninger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b/>
          <w:sz w:val="28"/>
        </w:rPr>
        <w:t xml:space="preserve">Klinisk farmakologi </w:t>
      </w:r>
      <w:r>
        <w:rPr>
          <w:b/>
          <w:sz w:val="28"/>
        </w:rPr>
        <w:br/>
      </w:r>
      <w:r>
        <w:rPr>
          <w:b/>
        </w:rPr>
        <w:t>Rationelt brug af lægemidler</w:t>
      </w:r>
      <w:r>
        <w:rPr>
          <w:b/>
        </w:rPr>
        <w:br/>
      </w:r>
      <w:r>
        <w:t xml:space="preserve">Anvende farmaka der er: </w:t>
      </w:r>
    </w:p>
    <w:p w:rsidR="00BC7839" w:rsidRDefault="00BC7839" w:rsidP="00BC7839">
      <w:pPr>
        <w:pStyle w:val="Listeafsnit"/>
        <w:numPr>
          <w:ilvl w:val="0"/>
          <w:numId w:val="1"/>
        </w:numPr>
      </w:pPr>
      <w:r>
        <w:t>Videnskabeligt velbegrundet</w:t>
      </w:r>
    </w:p>
    <w:p w:rsidR="00BC7839" w:rsidRDefault="00BC7839" w:rsidP="00BC7839">
      <w:pPr>
        <w:pStyle w:val="Listeafsnit"/>
        <w:numPr>
          <w:ilvl w:val="0"/>
          <w:numId w:val="1"/>
        </w:numPr>
      </w:pPr>
      <w:r>
        <w:t>Økonomisk forsvarligt</w:t>
      </w:r>
    </w:p>
    <w:p w:rsidR="00BC7839" w:rsidRDefault="00BC7839" w:rsidP="00BC7839">
      <w:pPr>
        <w:pStyle w:val="Listeafsnit"/>
        <w:numPr>
          <w:ilvl w:val="0"/>
          <w:numId w:val="1"/>
        </w:numPr>
      </w:pPr>
      <w:r>
        <w:t xml:space="preserve">Praktisk anvendeligt </w:t>
      </w:r>
      <w:r w:rsidR="008A4EE9">
        <w:t xml:space="preserve">(bedst muligt omfang – færrest kombinationer m.v.) </w:t>
      </w:r>
    </w:p>
    <w:p w:rsidR="008A4EE9" w:rsidRDefault="00BC7839" w:rsidP="00BC7839">
      <w:r>
        <w:rPr>
          <w:u w:val="single"/>
        </w:rPr>
        <w:t xml:space="preserve">Sammenlignelighedsprincippet </w:t>
      </w:r>
      <w:r>
        <w:rPr>
          <w:u w:val="single"/>
        </w:rPr>
        <w:br/>
      </w:r>
      <w:r>
        <w:t>Afvejning a</w:t>
      </w:r>
      <w:r w:rsidR="008A4EE9">
        <w:t xml:space="preserve">f: </w:t>
      </w:r>
    </w:p>
    <w:p w:rsidR="008A4EE9" w:rsidRDefault="008A4EE9" w:rsidP="008A4EE9">
      <w:pPr>
        <w:pStyle w:val="Listeafsnit"/>
        <w:numPr>
          <w:ilvl w:val="0"/>
          <w:numId w:val="1"/>
        </w:numPr>
      </w:pPr>
      <w:r>
        <w:t>Effekt</w:t>
      </w:r>
    </w:p>
    <w:p w:rsidR="008A4EE9" w:rsidRDefault="008A4EE9" w:rsidP="008A4EE9">
      <w:pPr>
        <w:pStyle w:val="Listeafsnit"/>
        <w:numPr>
          <w:ilvl w:val="0"/>
          <w:numId w:val="1"/>
        </w:numPr>
      </w:pPr>
      <w:r>
        <w:t>Bivirkning</w:t>
      </w:r>
    </w:p>
    <w:p w:rsidR="00BC7839" w:rsidRDefault="008A4EE9" w:rsidP="008A4EE9">
      <w:pPr>
        <w:pStyle w:val="Listeafsnit"/>
        <w:numPr>
          <w:ilvl w:val="0"/>
          <w:numId w:val="1"/>
        </w:numPr>
      </w:pPr>
      <w:r>
        <w:t>Økonomi</w:t>
      </w:r>
    </w:p>
    <w:p w:rsidR="00BC7839" w:rsidRPr="008A4EE9" w:rsidRDefault="00BC7839" w:rsidP="008A4EE9">
      <w:pPr>
        <w:rPr>
          <w:b/>
        </w:rPr>
      </w:pPr>
      <w:r>
        <w:rPr>
          <w:b/>
        </w:rPr>
        <w:t>Effektpåvirkningsfaktorer</w:t>
      </w:r>
      <w:r w:rsidR="008A4EE9">
        <w:rPr>
          <w:b/>
        </w:rPr>
        <w:br/>
      </w:r>
      <w:r w:rsidRPr="008A4EE9">
        <w:rPr>
          <w:u w:val="single"/>
        </w:rPr>
        <w:t>Individuel variation</w:t>
      </w:r>
    </w:p>
    <w:p w:rsidR="008A4EE9" w:rsidRPr="008A4EE9" w:rsidRDefault="00BC7839" w:rsidP="008A4EE9">
      <w:pPr>
        <w:pStyle w:val="Listeafsnit"/>
        <w:numPr>
          <w:ilvl w:val="0"/>
          <w:numId w:val="1"/>
        </w:numPr>
      </w:pPr>
      <w:r w:rsidRPr="00BC7839">
        <w:rPr>
          <w:b/>
        </w:rPr>
        <w:t xml:space="preserve">Alder </w:t>
      </w:r>
    </w:p>
    <w:p w:rsidR="008A4EE9" w:rsidRDefault="00BC7839" w:rsidP="008A4EE9">
      <w:pPr>
        <w:pStyle w:val="Listeafsnit"/>
      </w:pPr>
      <w:r w:rsidRPr="008A4EE9">
        <w:rPr>
          <w:i/>
        </w:rPr>
        <w:t>Børn</w:t>
      </w:r>
      <w:r>
        <w:t xml:space="preserve"> </w:t>
      </w:r>
      <w:r>
        <w:br/>
      </w:r>
      <w:r w:rsidR="008A4EE9">
        <w:t>Nedsat dosis</w:t>
      </w:r>
      <w:r w:rsidR="008A4EE9">
        <w:br/>
        <w:t>U</w:t>
      </w:r>
      <w:r>
        <w:t>dviklingsanomalier</w:t>
      </w:r>
      <w:r w:rsidR="008A4EE9">
        <w:t xml:space="preserve"> (</w:t>
      </w:r>
      <w:proofErr w:type="spellStart"/>
      <w:r>
        <w:t>emaljehypoplasi</w:t>
      </w:r>
      <w:proofErr w:type="spellEnd"/>
      <w:r>
        <w:t xml:space="preserve"> ved brug af tetracyklin</w:t>
      </w:r>
      <w:r w:rsidR="008A4EE9">
        <w:t>)</w:t>
      </w:r>
    </w:p>
    <w:p w:rsidR="008A4EE9" w:rsidRDefault="00BC7839" w:rsidP="008A4EE9">
      <w:pPr>
        <w:pStyle w:val="Listeafsnit"/>
      </w:pPr>
      <w:r w:rsidRPr="008A4EE9">
        <w:rPr>
          <w:i/>
        </w:rPr>
        <w:t>Ældre</w:t>
      </w:r>
      <w:r w:rsidR="008A4EE9">
        <w:rPr>
          <w:i/>
        </w:rPr>
        <w:br/>
      </w:r>
      <w:r w:rsidR="008A4EE9">
        <w:t>Svækket nyre og lever (ændret metabolisering)</w:t>
      </w:r>
    </w:p>
    <w:p w:rsidR="00BC7839" w:rsidRDefault="00BC7839" w:rsidP="008A4EE9">
      <w:pPr>
        <w:pStyle w:val="Listeafsnit"/>
        <w:numPr>
          <w:ilvl w:val="0"/>
          <w:numId w:val="1"/>
        </w:numPr>
      </w:pPr>
      <w:r w:rsidRPr="008A4EE9">
        <w:rPr>
          <w:b/>
        </w:rPr>
        <w:t>Vægt og kropsbygning</w:t>
      </w:r>
      <w:r w:rsidRPr="008A4EE9">
        <w:rPr>
          <w:i/>
        </w:rPr>
        <w:br/>
      </w:r>
      <w:r>
        <w:t>Dosering og fordelingsvolumen</w:t>
      </w:r>
    </w:p>
    <w:p w:rsidR="008A4EE9" w:rsidRDefault="008A4EE9" w:rsidP="008A4EE9">
      <w:pPr>
        <w:pStyle w:val="Listeafsnit"/>
        <w:numPr>
          <w:ilvl w:val="0"/>
          <w:numId w:val="1"/>
        </w:numPr>
      </w:pPr>
      <w:r>
        <w:rPr>
          <w:b/>
        </w:rPr>
        <w:t>Køn</w:t>
      </w:r>
      <w:r>
        <w:rPr>
          <w:b/>
        </w:rPr>
        <w:br/>
      </w:r>
      <w:r>
        <w:t>Forskellig fedtfordeling og hepatisk metabolisering</w:t>
      </w:r>
      <w:r>
        <w:br/>
        <w:t>Desuden graviditet</w:t>
      </w:r>
    </w:p>
    <w:p w:rsidR="008A4EE9" w:rsidRDefault="008A4EE9" w:rsidP="008A4EE9">
      <w:pPr>
        <w:pStyle w:val="Listeafsnit"/>
        <w:numPr>
          <w:ilvl w:val="0"/>
          <w:numId w:val="1"/>
        </w:numPr>
      </w:pPr>
      <w:r>
        <w:rPr>
          <w:b/>
        </w:rPr>
        <w:t>Miljø</w:t>
      </w:r>
      <w:r>
        <w:rPr>
          <w:b/>
        </w:rPr>
        <w:br/>
      </w:r>
      <w:r>
        <w:t>Fødeindtag</w:t>
      </w:r>
    </w:p>
    <w:p w:rsidR="008A4EE9" w:rsidRPr="008A4EE9" w:rsidRDefault="008A4EE9" w:rsidP="008A4EE9">
      <w:pPr>
        <w:pStyle w:val="Listeafsnit"/>
        <w:numPr>
          <w:ilvl w:val="0"/>
          <w:numId w:val="1"/>
        </w:numPr>
      </w:pPr>
      <w:r>
        <w:rPr>
          <w:b/>
        </w:rPr>
        <w:t>Fysiologiske faktorer</w:t>
      </w:r>
    </w:p>
    <w:p w:rsidR="008A4EE9" w:rsidRDefault="008A4EE9" w:rsidP="008A4EE9">
      <w:pPr>
        <w:pStyle w:val="Listeafsnit"/>
      </w:pPr>
      <w:r>
        <w:t xml:space="preserve">pH </w:t>
      </w:r>
    </w:p>
    <w:p w:rsidR="008A4EE9" w:rsidRDefault="008A4EE9" w:rsidP="008A4EE9">
      <w:pPr>
        <w:pStyle w:val="Listeafsnit"/>
        <w:numPr>
          <w:ilvl w:val="0"/>
          <w:numId w:val="1"/>
        </w:numPr>
      </w:pPr>
      <w:r>
        <w:rPr>
          <w:b/>
        </w:rPr>
        <w:t>Patologiske faktorer</w:t>
      </w:r>
      <w:r>
        <w:rPr>
          <w:b/>
        </w:rPr>
        <w:br/>
      </w:r>
      <w:r>
        <w:t>Sygdomme der påvirker dynamik og kinetik</w:t>
      </w:r>
    </w:p>
    <w:p w:rsidR="008A4EE9" w:rsidRDefault="008A4EE9" w:rsidP="008A4EE9">
      <w:pPr>
        <w:pStyle w:val="Listeafsnit"/>
        <w:numPr>
          <w:ilvl w:val="0"/>
          <w:numId w:val="1"/>
        </w:numPr>
      </w:pPr>
      <w:r>
        <w:rPr>
          <w:b/>
        </w:rPr>
        <w:t>Genetiske variationer</w:t>
      </w:r>
      <w:r>
        <w:rPr>
          <w:b/>
        </w:rPr>
        <w:br/>
      </w:r>
      <w:r>
        <w:t xml:space="preserve">Eksempelvis CYP-system: 10 % af befolkning mangler enzym der omdanner </w:t>
      </w:r>
      <w:proofErr w:type="spellStart"/>
      <w:r>
        <w:t>kodein</w:t>
      </w:r>
      <w:proofErr w:type="spellEnd"/>
      <w:r>
        <w:t xml:space="preserve"> og </w:t>
      </w:r>
      <w:proofErr w:type="spellStart"/>
      <w:r>
        <w:t>tramadol</w:t>
      </w:r>
      <w:proofErr w:type="spellEnd"/>
      <w:r>
        <w:t xml:space="preserve"> til morfin og M1</w:t>
      </w:r>
    </w:p>
    <w:p w:rsidR="008A4EE9" w:rsidRDefault="008A4EE9" w:rsidP="008A4EE9">
      <w:pPr>
        <w:rPr>
          <w:i/>
        </w:rPr>
      </w:pPr>
      <w:r>
        <w:rPr>
          <w:b/>
        </w:rPr>
        <w:t>Lægemiddelbivirkninger</w:t>
      </w:r>
      <w:r>
        <w:rPr>
          <w:b/>
        </w:rPr>
        <w:br/>
      </w:r>
      <w:r>
        <w:rPr>
          <w:i/>
        </w:rPr>
        <w:t>Utilsigtet effekt som indtræder ved brug af lægemiddel i normaldosis</w:t>
      </w:r>
    </w:p>
    <w:p w:rsidR="00E04266" w:rsidRDefault="008A4EE9" w:rsidP="008A4EE9">
      <w:r>
        <w:rPr>
          <w:u w:val="single"/>
        </w:rPr>
        <w:t>Type A</w:t>
      </w:r>
    </w:p>
    <w:p w:rsidR="00E04266" w:rsidRDefault="008A4EE9" w:rsidP="00E04266">
      <w:pPr>
        <w:pStyle w:val="Listeafsnit"/>
        <w:numPr>
          <w:ilvl w:val="0"/>
          <w:numId w:val="2"/>
        </w:numPr>
      </w:pPr>
      <w:r>
        <w:t xml:space="preserve">Forudsigelige ud fra farmakologisk profil (f.eks. </w:t>
      </w:r>
      <w:proofErr w:type="spellStart"/>
      <w:r>
        <w:t>hyperkaliæmi</w:t>
      </w:r>
      <w:proofErr w:type="spellEnd"/>
      <w:r>
        <w:t xml:space="preserve"> ved brug af ACE-hæmmere)</w:t>
      </w:r>
    </w:p>
    <w:p w:rsidR="00E04266" w:rsidRDefault="00E04266" w:rsidP="00E04266">
      <w:pPr>
        <w:pStyle w:val="Listeafsnit"/>
        <w:numPr>
          <w:ilvl w:val="0"/>
          <w:numId w:val="2"/>
        </w:numPr>
      </w:pPr>
      <w:r>
        <w:lastRenderedPageBreak/>
        <w:t>Dosisafhængige</w:t>
      </w:r>
    </w:p>
    <w:p w:rsidR="00E04266" w:rsidRDefault="00E04266" w:rsidP="00E04266">
      <w:pPr>
        <w:pStyle w:val="Listeafsnit"/>
        <w:numPr>
          <w:ilvl w:val="0"/>
          <w:numId w:val="2"/>
        </w:numPr>
      </w:pPr>
      <w:r>
        <w:t>Hyppige</w:t>
      </w:r>
    </w:p>
    <w:p w:rsidR="008A4EE9" w:rsidRDefault="00E04266" w:rsidP="00E04266">
      <w:pPr>
        <w:pStyle w:val="Listeafsnit"/>
        <w:numPr>
          <w:ilvl w:val="0"/>
          <w:numId w:val="2"/>
        </w:numPr>
      </w:pPr>
      <w:r>
        <w:t>Sjældent alvorlige</w:t>
      </w:r>
      <w:r>
        <w:br/>
      </w:r>
    </w:p>
    <w:p w:rsidR="00E04266" w:rsidRDefault="008A4EE9" w:rsidP="008A4EE9">
      <w:r>
        <w:rPr>
          <w:u w:val="single"/>
        </w:rPr>
        <w:t>Type B</w:t>
      </w:r>
    </w:p>
    <w:p w:rsidR="00E04266" w:rsidRDefault="008A4EE9" w:rsidP="00E04266">
      <w:pPr>
        <w:pStyle w:val="Listeafsnit"/>
        <w:numPr>
          <w:ilvl w:val="0"/>
          <w:numId w:val="3"/>
        </w:numPr>
      </w:pPr>
      <w:r>
        <w:t>Uforudsigelige ud fra farmakologisk profil</w:t>
      </w:r>
    </w:p>
    <w:p w:rsidR="00E04266" w:rsidRDefault="00E04266" w:rsidP="00E04266">
      <w:pPr>
        <w:pStyle w:val="Listeafsnit"/>
        <w:numPr>
          <w:ilvl w:val="0"/>
          <w:numId w:val="3"/>
        </w:numPr>
      </w:pPr>
      <w:r>
        <w:t>Ikke d</w:t>
      </w:r>
      <w:r w:rsidR="008A4EE9">
        <w:t>osisafhængige</w:t>
      </w:r>
    </w:p>
    <w:p w:rsidR="00E04266" w:rsidRDefault="00E04266" w:rsidP="00E04266">
      <w:pPr>
        <w:pStyle w:val="Listeafsnit"/>
        <w:numPr>
          <w:ilvl w:val="0"/>
          <w:numId w:val="3"/>
        </w:numPr>
      </w:pPr>
      <w:r>
        <w:t>Sjældne</w:t>
      </w:r>
    </w:p>
    <w:p w:rsidR="008A4EE9" w:rsidRPr="008A4EE9" w:rsidRDefault="008A4EE9" w:rsidP="00E04266">
      <w:pPr>
        <w:pStyle w:val="Listeafsnit"/>
        <w:numPr>
          <w:ilvl w:val="0"/>
          <w:numId w:val="3"/>
        </w:numPr>
      </w:pPr>
      <w:r>
        <w:t>Ofte alvorlige</w:t>
      </w:r>
      <w:r>
        <w:br/>
      </w:r>
      <w:r>
        <w:br/>
      </w:r>
      <w:r w:rsidRPr="00E04266">
        <w:rPr>
          <w:u w:val="single"/>
        </w:rPr>
        <w:t>Erkendelse af bivirkninger</w:t>
      </w:r>
      <w:r w:rsidRPr="00E04266">
        <w:rPr>
          <w:u w:val="single"/>
        </w:rPr>
        <w:br/>
      </w:r>
      <w:r w:rsidRPr="00E04266">
        <w:rPr>
          <w:i/>
        </w:rPr>
        <w:t>Forsinket opdagelse</w:t>
      </w:r>
      <w:r w:rsidRPr="00E04266">
        <w:rPr>
          <w:i/>
        </w:rPr>
        <w:br/>
      </w:r>
      <w:r>
        <w:t xml:space="preserve">Hvor bivirkning tolkes som tilfældigt sammentræf (men altså skyldes farmakum) </w:t>
      </w:r>
      <w:r>
        <w:br/>
      </w:r>
      <w:r w:rsidRPr="00E04266">
        <w:rPr>
          <w:i/>
        </w:rPr>
        <w:t>Falske bivirkninger</w:t>
      </w:r>
      <w:r w:rsidRPr="00E04266">
        <w:rPr>
          <w:i/>
        </w:rPr>
        <w:br/>
      </w:r>
      <w:r>
        <w:t>Hvor tilfældigt sammentræf tolkes som bivirkning (men altså skyldes andre faktorer)</w:t>
      </w:r>
    </w:p>
    <w:p w:rsidR="008A4EE9" w:rsidRDefault="008A4EE9" w:rsidP="008A4EE9">
      <w:r>
        <w:rPr>
          <w:u w:val="single"/>
        </w:rPr>
        <w:t>Indberetningspligt</w:t>
      </w:r>
      <w:r>
        <w:rPr>
          <w:u w:val="single"/>
        </w:rPr>
        <w:br/>
      </w:r>
      <w:r>
        <w:t xml:space="preserve">Frivilligt med mindre en af følgende faktorer mødes:  </w:t>
      </w:r>
    </w:p>
    <w:p w:rsidR="008A4EE9" w:rsidRPr="008A4EE9" w:rsidRDefault="008A4EE9" w:rsidP="008A4EE9">
      <w:pPr>
        <w:pStyle w:val="Listeafsnit"/>
        <w:numPr>
          <w:ilvl w:val="0"/>
          <w:numId w:val="1"/>
        </w:numPr>
      </w:pPr>
      <w:r>
        <w:rPr>
          <w:b/>
        </w:rPr>
        <w:t>Alle bivirkninger for lægemidler markedsført indenfor 2 år</w:t>
      </w:r>
    </w:p>
    <w:p w:rsidR="008A4EE9" w:rsidRPr="008A4EE9" w:rsidRDefault="008A4EE9" w:rsidP="008A4EE9">
      <w:pPr>
        <w:pStyle w:val="Listeafsnit"/>
        <w:numPr>
          <w:ilvl w:val="0"/>
          <w:numId w:val="1"/>
        </w:numPr>
      </w:pPr>
      <w:r>
        <w:rPr>
          <w:b/>
        </w:rPr>
        <w:t>Livstruende</w:t>
      </w:r>
    </w:p>
    <w:p w:rsidR="008A4EE9" w:rsidRPr="008A4EE9" w:rsidRDefault="008A4EE9" w:rsidP="008A4EE9">
      <w:pPr>
        <w:pStyle w:val="Listeafsnit"/>
        <w:numPr>
          <w:ilvl w:val="0"/>
          <w:numId w:val="1"/>
        </w:numPr>
      </w:pPr>
      <w:r>
        <w:rPr>
          <w:b/>
        </w:rPr>
        <w:t>Dødelige</w:t>
      </w:r>
    </w:p>
    <w:p w:rsidR="008A4EE9" w:rsidRPr="008A4EE9" w:rsidRDefault="008A4EE9" w:rsidP="008A4EE9">
      <w:pPr>
        <w:pStyle w:val="Listeafsnit"/>
        <w:numPr>
          <w:ilvl w:val="0"/>
          <w:numId w:val="1"/>
        </w:numPr>
      </w:pPr>
      <w:r>
        <w:rPr>
          <w:b/>
        </w:rPr>
        <w:t>Invaliderende</w:t>
      </w:r>
    </w:p>
    <w:p w:rsidR="008A4EE9" w:rsidRPr="008A4EE9" w:rsidRDefault="008A4EE9" w:rsidP="008A4EE9">
      <w:pPr>
        <w:pStyle w:val="Listeafsnit"/>
        <w:numPr>
          <w:ilvl w:val="0"/>
          <w:numId w:val="1"/>
        </w:numPr>
      </w:pPr>
      <w:r>
        <w:rPr>
          <w:b/>
        </w:rPr>
        <w:t>Hospitalsindlæggelse</w:t>
      </w:r>
    </w:p>
    <w:p w:rsidR="008A4EE9" w:rsidRPr="008A4EE9" w:rsidRDefault="008A4EE9" w:rsidP="008A4EE9">
      <w:pPr>
        <w:pStyle w:val="Listeafsnit"/>
        <w:numPr>
          <w:ilvl w:val="0"/>
          <w:numId w:val="1"/>
        </w:numPr>
      </w:pPr>
      <w:r>
        <w:rPr>
          <w:b/>
        </w:rPr>
        <w:t>Misdannelser hos nyfødte</w:t>
      </w:r>
    </w:p>
    <w:p w:rsidR="008A4EE9" w:rsidRPr="008A4EE9" w:rsidRDefault="008A4EE9" w:rsidP="008A4EE9">
      <w:pPr>
        <w:pStyle w:val="Listeafsnit"/>
        <w:numPr>
          <w:ilvl w:val="0"/>
          <w:numId w:val="1"/>
        </w:numPr>
      </w:pPr>
      <w:r>
        <w:rPr>
          <w:b/>
        </w:rPr>
        <w:t>Alvorlige (anden karakter)</w:t>
      </w:r>
    </w:p>
    <w:p w:rsidR="008A4EE9" w:rsidRPr="008A4EE9" w:rsidRDefault="008A4EE9" w:rsidP="008A4EE9">
      <w:pPr>
        <w:pStyle w:val="Listeafsnit"/>
        <w:numPr>
          <w:ilvl w:val="0"/>
          <w:numId w:val="1"/>
        </w:numPr>
      </w:pPr>
      <w:r>
        <w:rPr>
          <w:b/>
        </w:rPr>
        <w:t xml:space="preserve">Interaktionsforårsagede </w:t>
      </w:r>
    </w:p>
    <w:p w:rsidR="008A4EE9" w:rsidRDefault="008A4EE9" w:rsidP="008A4EE9">
      <w:pPr>
        <w:pStyle w:val="Listeafsnit"/>
        <w:numPr>
          <w:ilvl w:val="0"/>
          <w:numId w:val="1"/>
        </w:numPr>
      </w:pPr>
      <w:r>
        <w:rPr>
          <w:b/>
        </w:rPr>
        <w:t>Uventede</w:t>
      </w:r>
    </w:p>
    <w:p w:rsidR="00BE3645" w:rsidRDefault="00BE3645" w:rsidP="00BE3645">
      <w:r>
        <w:t>TIL LÆGEMIDDELSTYRELSEN VIA ELEKTRONISK BLANKET</w:t>
      </w:r>
      <w:bookmarkStart w:id="0" w:name="_GoBack"/>
      <w:bookmarkEnd w:id="0"/>
    </w:p>
    <w:p w:rsidR="008A4EE9" w:rsidRPr="008A4EE9" w:rsidRDefault="008A4EE9" w:rsidP="008A4EE9">
      <w:r>
        <w:rPr>
          <w:u w:val="single"/>
        </w:rPr>
        <w:t>Hyppighed</w:t>
      </w:r>
      <w:r>
        <w:rPr>
          <w:u w:val="single"/>
        </w:rPr>
        <w:br/>
      </w:r>
      <w:r>
        <w:t>5-8 % af indlæggelser på medicinske afdelinger skyldes bivirkninger eller toxiske reaktioner</w:t>
      </w:r>
      <w:r>
        <w:br/>
      </w:r>
      <w:r>
        <w:br/>
      </w:r>
      <w:r>
        <w:rPr>
          <w:u w:val="single"/>
        </w:rPr>
        <w:t>NNTH</w:t>
      </w:r>
      <w:r>
        <w:rPr>
          <w:u w:val="single"/>
        </w:rPr>
        <w:br/>
      </w:r>
      <w:r>
        <w:t xml:space="preserve">Number </w:t>
      </w:r>
      <w:r>
        <w:rPr>
          <w:vertAlign w:val="subscript"/>
        </w:rPr>
        <w:t xml:space="preserve">of patients </w:t>
      </w:r>
      <w:proofErr w:type="spellStart"/>
      <w:r>
        <w:t>Needed</w:t>
      </w:r>
      <w:proofErr w:type="spellEnd"/>
      <w:r>
        <w:t xml:space="preserve"> </w:t>
      </w:r>
      <w:r>
        <w:rPr>
          <w:vertAlign w:val="subscript"/>
        </w:rPr>
        <w:t xml:space="preserve">to </w:t>
      </w:r>
      <w:proofErr w:type="spellStart"/>
      <w:r>
        <w:rPr>
          <w:vertAlign w:val="subscript"/>
        </w:rPr>
        <w:t>be</w:t>
      </w:r>
      <w:proofErr w:type="spellEnd"/>
      <w:r>
        <w:rPr>
          <w:vertAlign w:val="subscript"/>
        </w:rPr>
        <w:t xml:space="preserve"> </w:t>
      </w:r>
      <w:proofErr w:type="spellStart"/>
      <w:r>
        <w:t>Treated</w:t>
      </w:r>
      <w:proofErr w:type="spellEnd"/>
      <w:r>
        <w:t xml:space="preserve"> </w:t>
      </w:r>
      <w:r>
        <w:rPr>
          <w:vertAlign w:val="subscript"/>
        </w:rPr>
        <w:t xml:space="preserve">for one </w:t>
      </w:r>
      <w:proofErr w:type="spellStart"/>
      <w:r>
        <w:rPr>
          <w:vertAlign w:val="subscript"/>
        </w:rPr>
        <w:t>additional</w:t>
      </w:r>
      <w:proofErr w:type="spellEnd"/>
      <w:r>
        <w:rPr>
          <w:vertAlign w:val="subscript"/>
        </w:rPr>
        <w:t xml:space="preserve"> patient to </w:t>
      </w:r>
      <w:proofErr w:type="spellStart"/>
      <w:r>
        <w:rPr>
          <w:vertAlign w:val="subscript"/>
        </w:rPr>
        <w:t>be</w:t>
      </w:r>
      <w:proofErr w:type="spellEnd"/>
      <w:r>
        <w:rPr>
          <w:vertAlign w:val="subscript"/>
        </w:rPr>
        <w:t xml:space="preserve"> </w:t>
      </w:r>
      <w:proofErr w:type="spellStart"/>
      <w:r>
        <w:t>Harmed</w:t>
      </w:r>
      <w:proofErr w:type="spellEnd"/>
    </w:p>
    <w:p w:rsidR="008A4EE9" w:rsidRPr="00BC7839" w:rsidRDefault="008A4EE9" w:rsidP="008A4EE9"/>
    <w:sectPr w:rsidR="008A4EE9" w:rsidRPr="00BC7839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8677A"/>
    <w:multiLevelType w:val="hybridMultilevel"/>
    <w:tmpl w:val="EB68AF0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BC103D"/>
    <w:multiLevelType w:val="hybridMultilevel"/>
    <w:tmpl w:val="6F126E4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B0693"/>
    <w:multiLevelType w:val="hybridMultilevel"/>
    <w:tmpl w:val="EFF05F76"/>
    <w:lvl w:ilvl="0" w:tplc="29CAB836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A60EFE8A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2" w:tplc="040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839"/>
    <w:rsid w:val="00444B49"/>
    <w:rsid w:val="005854D4"/>
    <w:rsid w:val="008A4EE9"/>
    <w:rsid w:val="00BC7839"/>
    <w:rsid w:val="00BE3645"/>
    <w:rsid w:val="00E00259"/>
    <w:rsid w:val="00E0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23DC6"/>
  <w15:chartTrackingRefBased/>
  <w15:docId w15:val="{9CE8A8B9-8C01-4B9D-A137-7A537A085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BC78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265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Jeppe Følner</dc:creator>
  <cp:keywords/>
  <dc:description/>
  <cp:lastModifiedBy>Jeppe Følner</cp:lastModifiedBy>
  <cp:revision>4</cp:revision>
  <dcterms:created xsi:type="dcterms:W3CDTF">2018-02-19T11:14:00Z</dcterms:created>
  <dcterms:modified xsi:type="dcterms:W3CDTF">2018-02-20T19:27:00Z</dcterms:modified>
</cp:coreProperties>
</file>