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8D0" w:rsidRPr="00061F5C" w:rsidRDefault="00061F5C" w:rsidP="00CB08D0">
      <w:pPr>
        <w:rPr>
          <w:b/>
          <w:color w:val="0070C0"/>
          <w:sz w:val="32"/>
        </w:rPr>
      </w:pPr>
      <w:r w:rsidRPr="00061F5C">
        <w:rPr>
          <w:b/>
          <w:noProof/>
          <w:color w:val="0070C0"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07100" cy="1404620"/>
                <wp:effectExtent l="57150" t="38100" r="5080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1F5C" w:rsidRPr="00061F5C" w:rsidRDefault="00061F5C" w:rsidP="00061F5C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061F5C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12. M</w:t>
                            </w:r>
                            <w:r w:rsidRPr="00061F5C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TK</w:t>
                            </w:r>
                            <w:r w:rsidRPr="00061F5C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ØVEARK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8pt;margin-top:14.4pt;width:47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061F5C" w:rsidRPr="00061F5C" w:rsidRDefault="00061F5C" w:rsidP="00061F5C">
                      <w:pPr>
                        <w:jc w:val="center"/>
                        <w:rPr>
                          <w:color w:val="FFFFFF" w:themeColor="background1"/>
                          <w:sz w:val="24"/>
                        </w:rPr>
                      </w:pPr>
                      <w:r w:rsidRPr="00061F5C">
                        <w:rPr>
                          <w:b/>
                          <w:color w:val="FFFFFF" w:themeColor="background1"/>
                          <w:sz w:val="36"/>
                        </w:rPr>
                        <w:t>12. M</w:t>
                      </w:r>
                      <w:r w:rsidRPr="00061F5C">
                        <w:rPr>
                          <w:b/>
                          <w:color w:val="FFFFFF" w:themeColor="background1"/>
                          <w:sz w:val="36"/>
                        </w:rPr>
                        <w:t>TK</w:t>
                      </w:r>
                      <w:r w:rsidRPr="00061F5C">
                        <w:rPr>
                          <w:b/>
                          <w:color w:val="FFFFFF" w:themeColor="background1"/>
                          <w:sz w:val="36"/>
                        </w:rPr>
                        <w:t xml:space="preserve"> ØVEARK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08D0" w:rsidRPr="00061F5C">
        <w:rPr>
          <w:b/>
        </w:rPr>
        <w:t>Mavesyrehæmmende farmaka</w:t>
      </w:r>
      <w:r w:rsidR="00CB08D0">
        <w:rPr>
          <w:b/>
          <w:sz w:val="24"/>
        </w:rPr>
        <w:br/>
      </w:r>
      <w:r w:rsidR="00CB08D0" w:rsidRPr="00061F5C">
        <w:rPr>
          <w:u w:val="single"/>
        </w:rPr>
        <w:t>Mavesyre (HCl)</w:t>
      </w:r>
      <w:r w:rsidR="00CB08D0" w:rsidRPr="00061F5C">
        <w:rPr>
          <w:b/>
        </w:rPr>
        <w:br/>
      </w:r>
      <w:r w:rsidR="00CB08D0" w:rsidRPr="00061F5C">
        <w:t xml:space="preserve">Mavesyre dannes af parietalceller (200-400 mmol/døgn). </w:t>
      </w:r>
      <w:r w:rsidR="00CB08D0" w:rsidRPr="00061F5C">
        <w:br/>
      </w:r>
      <w:r w:rsidR="00CB08D0" w:rsidRPr="00061F5C">
        <w:rPr>
          <w:u w:val="single"/>
        </w:rPr>
        <w:br/>
        <w:t>Frigivelsesstimulering</w:t>
      </w:r>
    </w:p>
    <w:p w:rsidR="00CB08D0" w:rsidRPr="00061F5C" w:rsidRDefault="00CB08D0" w:rsidP="00CB08D0">
      <w:pPr>
        <w:pStyle w:val="Listeafsnit"/>
        <w:numPr>
          <w:ilvl w:val="0"/>
          <w:numId w:val="2"/>
        </w:numPr>
      </w:pPr>
      <w:r w:rsidRPr="00061F5C">
        <w:t>Histamin (H</w:t>
      </w:r>
      <w:r w:rsidRPr="00061F5C">
        <w:rPr>
          <w:vertAlign w:val="subscript"/>
        </w:rPr>
        <w:t>2</w:t>
      </w:r>
      <w:r w:rsidRPr="00061F5C">
        <w:t>-receptor)</w:t>
      </w:r>
      <w:r w:rsidRPr="00061F5C">
        <w:br/>
      </w:r>
      <w:r w:rsidRPr="00061F5C">
        <w:rPr>
          <w:sz w:val="18"/>
        </w:rPr>
        <w:t>Største bidrag</w:t>
      </w:r>
    </w:p>
    <w:p w:rsidR="00CB08D0" w:rsidRPr="00061F5C" w:rsidRDefault="00CB08D0" w:rsidP="00CB08D0">
      <w:pPr>
        <w:pStyle w:val="Listeafsnit"/>
        <w:numPr>
          <w:ilvl w:val="0"/>
          <w:numId w:val="2"/>
        </w:numPr>
      </w:pPr>
      <w:r w:rsidRPr="00061F5C">
        <w:t>Acetylcholin (M</w:t>
      </w:r>
      <w:r w:rsidR="00061F5C" w:rsidRPr="00061F5C">
        <w:rPr>
          <w:vertAlign w:val="subscript"/>
        </w:rPr>
        <w:t>1</w:t>
      </w:r>
      <w:r w:rsidRPr="00061F5C">
        <w:t>-receptor)</w:t>
      </w:r>
      <w:r w:rsidRPr="00061F5C">
        <w:br/>
      </w:r>
      <w:r w:rsidRPr="00061F5C">
        <w:rPr>
          <w:sz w:val="18"/>
        </w:rPr>
        <w:t>Næststørste bidrag</w:t>
      </w:r>
    </w:p>
    <w:p w:rsidR="00061F5C" w:rsidRPr="00061F5C" w:rsidRDefault="00CB08D0" w:rsidP="00CB08D0">
      <w:pPr>
        <w:pStyle w:val="Listeafsnit"/>
        <w:numPr>
          <w:ilvl w:val="0"/>
          <w:numId w:val="2"/>
        </w:numPr>
        <w:rPr>
          <w:strike/>
        </w:rPr>
      </w:pPr>
      <w:r w:rsidRPr="00061F5C">
        <w:rPr>
          <w:strike/>
        </w:rPr>
        <w:t>Gastrin (CCK2-receptor)</w:t>
      </w:r>
      <w:r w:rsidRPr="00061F5C">
        <w:rPr>
          <w:strike/>
        </w:rPr>
        <w:br/>
      </w:r>
      <w:r w:rsidR="00061F5C" w:rsidRPr="00061F5C">
        <w:rPr>
          <w:strike/>
          <w:sz w:val="18"/>
        </w:rPr>
        <w:t>Ligegyldig</w:t>
      </w:r>
      <w:r w:rsidRPr="00061F5C">
        <w:rPr>
          <w:strike/>
          <w:sz w:val="18"/>
        </w:rPr>
        <w:t xml:space="preserve"> </w:t>
      </w:r>
    </w:p>
    <w:p w:rsidR="00CB08D0" w:rsidRPr="00061F5C" w:rsidRDefault="00CB08D0" w:rsidP="00061F5C">
      <w:pPr>
        <w:rPr>
          <w:strike/>
        </w:rPr>
      </w:pPr>
      <w:r w:rsidRPr="00061F5C">
        <w:t xml:space="preserve"> </w:t>
      </w:r>
      <w:r w:rsidRPr="00061F5C">
        <w:br/>
      </w:r>
      <w:r w:rsidRPr="00061F5C">
        <w:rPr>
          <w:u w:val="single"/>
        </w:rPr>
        <w:t>Frigivelse</w:t>
      </w:r>
    </w:p>
    <w:p w:rsidR="00061F5C" w:rsidRPr="00061F5C" w:rsidRDefault="00CB08D0" w:rsidP="00CB08D0">
      <w:pPr>
        <w:pStyle w:val="Listeafsnit"/>
        <w:numPr>
          <w:ilvl w:val="0"/>
          <w:numId w:val="3"/>
        </w:numPr>
      </w:pPr>
      <w:r w:rsidRPr="00061F5C">
        <w:t>Protonpumpe (H</w:t>
      </w:r>
      <w:r w:rsidRPr="00061F5C">
        <w:rPr>
          <w:vertAlign w:val="superscript"/>
        </w:rPr>
        <w:t>+</w:t>
      </w:r>
      <w:r w:rsidRPr="00061F5C">
        <w:t>/K</w:t>
      </w:r>
      <w:r w:rsidRPr="00061F5C">
        <w:rPr>
          <w:vertAlign w:val="superscript"/>
        </w:rPr>
        <w:t>+</w:t>
      </w:r>
      <w:r w:rsidRPr="00061F5C">
        <w:t>-ATPase)</w:t>
      </w:r>
      <w:r w:rsidRPr="00061F5C">
        <w:br/>
      </w:r>
      <w:r w:rsidRPr="00061F5C">
        <w:rPr>
          <w:sz w:val="18"/>
        </w:rPr>
        <w:t>Frigiver H</w:t>
      </w:r>
      <w:r w:rsidRPr="00061F5C">
        <w:rPr>
          <w:sz w:val="18"/>
          <w:vertAlign w:val="superscript"/>
        </w:rPr>
        <w:t>+</w:t>
      </w:r>
      <w:r w:rsidRPr="00061F5C">
        <w:rPr>
          <w:sz w:val="18"/>
        </w:rPr>
        <w:t xml:space="preserve"> (mod </w:t>
      </w:r>
      <w:proofErr w:type="spellStart"/>
      <w:r w:rsidRPr="00061F5C">
        <w:rPr>
          <w:sz w:val="18"/>
        </w:rPr>
        <w:t>koncentrantationsgradient</w:t>
      </w:r>
      <w:proofErr w:type="spellEnd"/>
      <w:r w:rsidRPr="00061F5C">
        <w:rPr>
          <w:sz w:val="18"/>
        </w:rPr>
        <w:t>) som i ventriklen går i reaktion med Cl</w:t>
      </w:r>
      <w:r w:rsidRPr="00061F5C">
        <w:rPr>
          <w:sz w:val="18"/>
          <w:vertAlign w:val="superscript"/>
        </w:rPr>
        <w:t>-</w:t>
      </w:r>
      <w:r w:rsidRPr="00061F5C">
        <w:rPr>
          <w:sz w:val="18"/>
        </w:rPr>
        <w:t xml:space="preserve"> (ligeledes fra </w:t>
      </w:r>
      <w:proofErr w:type="spellStart"/>
      <w:r w:rsidRPr="00061F5C">
        <w:rPr>
          <w:sz w:val="18"/>
        </w:rPr>
        <w:t>parietalcellen</w:t>
      </w:r>
      <w:proofErr w:type="spellEnd"/>
      <w:r w:rsidRPr="00061F5C">
        <w:rPr>
          <w:sz w:val="18"/>
        </w:rPr>
        <w:t xml:space="preserve">) under dannelsen af HCl (mavesyre). </w:t>
      </w:r>
    </w:p>
    <w:p w:rsidR="00CB08D0" w:rsidRPr="00061F5C" w:rsidRDefault="00CB08D0" w:rsidP="00061F5C">
      <w:r w:rsidRPr="00061F5C">
        <w:br/>
      </w:r>
      <w:r w:rsidR="00061F5C">
        <w:rPr>
          <w:noProof/>
        </w:rPr>
        <w:drawing>
          <wp:inline distT="0" distB="0" distL="0" distR="0">
            <wp:extent cx="3918585" cy="3983990"/>
            <wp:effectExtent l="0" t="0" r="571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398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8D0" w:rsidRDefault="00CB08D0" w:rsidP="00CB08D0">
      <w:pPr>
        <w:rPr>
          <w:sz w:val="24"/>
        </w:rPr>
      </w:pPr>
    </w:p>
    <w:p w:rsidR="00CB08D0" w:rsidRPr="00EC5351" w:rsidRDefault="00CB08D0" w:rsidP="00CB08D0">
      <w:pPr>
        <w:rPr>
          <w:sz w:val="24"/>
        </w:rPr>
      </w:pPr>
      <w:r>
        <w:rPr>
          <w:b/>
          <w:color w:val="0070C0"/>
          <w:sz w:val="24"/>
        </w:rPr>
        <w:lastRenderedPageBreak/>
        <w:t xml:space="preserve">Mavesyrestofliste </w:t>
      </w:r>
      <w:r w:rsidRPr="00EC5351">
        <w:rPr>
          <w:b/>
          <w:color w:val="0070C0"/>
          <w:sz w:val="24"/>
        </w:rPr>
        <w:t xml:space="preserve"> </w:t>
      </w:r>
    </w:p>
    <w:tbl>
      <w:tblPr>
        <w:tblStyle w:val="Tabel-Gitter"/>
        <w:tblW w:w="9627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CB08D0" w:rsidRPr="00FC7806" w:rsidTr="002D5C3D">
        <w:trPr>
          <w:trHeight w:val="136"/>
        </w:trPr>
        <w:tc>
          <w:tcPr>
            <w:tcW w:w="3209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PPI (protonpumpe-inhibitor)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H2-antagonister</w:t>
            </w:r>
          </w:p>
        </w:tc>
      </w:tr>
      <w:tr w:rsidR="00CB08D0" w:rsidRPr="00FC7806" w:rsidTr="002D5C3D">
        <w:trPr>
          <w:trHeight w:val="136"/>
        </w:trPr>
        <w:tc>
          <w:tcPr>
            <w:tcW w:w="3209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CB08D0" w:rsidRPr="003C7F78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fremgår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  <w:tr w:rsidR="00CB08D0" w:rsidRPr="00FC7806" w:rsidTr="002D5C3D">
        <w:trPr>
          <w:trHeight w:val="254"/>
        </w:trPr>
        <w:tc>
          <w:tcPr>
            <w:tcW w:w="3209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CB08D0" w:rsidRPr="003C7F78" w:rsidRDefault="00061F5C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Prodrug der </w:t>
            </w:r>
            <w:r>
              <w:rPr>
                <w:i/>
                <w:sz w:val="20"/>
                <w:szCs w:val="24"/>
              </w:rPr>
              <w:t>selv</w:t>
            </w:r>
            <w:r>
              <w:t xml:space="preserve"> </w:t>
            </w:r>
            <w:r>
              <w:rPr>
                <w:sz w:val="20"/>
              </w:rPr>
              <w:t>aktiveres af HCl</w:t>
            </w:r>
            <w:r w:rsidR="00CB08D0">
              <w:rPr>
                <w:sz w:val="20"/>
                <w:szCs w:val="24"/>
              </w:rPr>
              <w:br/>
            </w:r>
            <w:r w:rsidR="00CB08D0">
              <w:rPr>
                <w:sz w:val="20"/>
                <w:szCs w:val="24"/>
              </w:rPr>
              <w:br/>
            </w:r>
            <w:r w:rsidR="00CB08D0">
              <w:rPr>
                <w:sz w:val="20"/>
                <w:szCs w:val="24"/>
                <w:u w:val="single"/>
              </w:rPr>
              <w:t>Resultat</w:t>
            </w:r>
            <w:r w:rsidR="00CB08D0">
              <w:rPr>
                <w:sz w:val="20"/>
                <w:szCs w:val="24"/>
                <w:u w:val="single"/>
              </w:rPr>
              <w:br/>
            </w:r>
            <w:r w:rsidR="00CB08D0">
              <w:rPr>
                <w:sz w:val="20"/>
                <w:szCs w:val="24"/>
              </w:rPr>
              <w:t>Hæmmet syrefrigivelse (H</w:t>
            </w:r>
            <w:r w:rsidR="00CB08D0">
              <w:rPr>
                <w:sz w:val="20"/>
                <w:szCs w:val="24"/>
                <w:vertAlign w:val="superscript"/>
              </w:rPr>
              <w:t>+</w:t>
            </w:r>
            <w:r w:rsidR="00CB08D0">
              <w:rPr>
                <w:sz w:val="20"/>
                <w:szCs w:val="24"/>
              </w:rPr>
              <w:t>)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  <w:tr w:rsidR="00CB08D0" w:rsidRPr="001134EE" w:rsidTr="002D5C3D">
        <w:tc>
          <w:tcPr>
            <w:tcW w:w="3209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CB08D0" w:rsidRPr="003C7F78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syreproduktion med op til 95 %.</w:t>
            </w:r>
            <w:r>
              <w:rPr>
                <w:sz w:val="20"/>
                <w:szCs w:val="24"/>
              </w:rPr>
              <w:br/>
              <w:t>Er mere effektiv end H</w:t>
            </w:r>
            <w:r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>-antagonister (op til 75 %) da man blokerer syresekretionens ”flaskehals” (se tegning)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  <w:tr w:rsidR="00CB08D0" w:rsidRPr="001134EE" w:rsidTr="002D5C3D">
        <w:tc>
          <w:tcPr>
            <w:tcW w:w="3209" w:type="dxa"/>
          </w:tcPr>
          <w:p w:rsidR="00CB08D0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CB08D0" w:rsidRPr="007A5F82" w:rsidRDefault="00061F5C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Obstipation 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  <w:tr w:rsidR="00CB08D0" w:rsidRPr="001134EE" w:rsidTr="002D5C3D">
        <w:tc>
          <w:tcPr>
            <w:tcW w:w="3209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CB08D0" w:rsidRPr="003C7F78" w:rsidRDefault="00CB08D0" w:rsidP="002D5C3D">
            <w:pPr>
              <w:rPr>
                <w:sz w:val="20"/>
                <w:szCs w:val="24"/>
              </w:rPr>
            </w:pPr>
            <w:r w:rsidRPr="003C7F78">
              <w:rPr>
                <w:sz w:val="20"/>
                <w:szCs w:val="24"/>
                <w:u w:val="single"/>
              </w:rPr>
              <w:t>Ulcus-sygdom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Slimhindesår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 xml:space="preserve">Gastroesophegal refluks 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Ufunktionel sphinctermuskel tillader tilbage af mavesyre til spiserør (surt opstød)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  <w:tr w:rsidR="00CB08D0" w:rsidRPr="00FC7806" w:rsidTr="002D5C3D">
        <w:tc>
          <w:tcPr>
            <w:tcW w:w="3209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209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ANTIHISTAMINER</w:t>
            </w:r>
          </w:p>
        </w:tc>
      </w:tr>
    </w:tbl>
    <w:p w:rsidR="00061F5C" w:rsidRDefault="00CB08D0" w:rsidP="00CB08D0">
      <w:r>
        <w:rPr>
          <w:sz w:val="24"/>
        </w:rPr>
        <w:br/>
      </w:r>
      <w:r w:rsidR="00061F5C" w:rsidRPr="00061F5C">
        <w:rPr>
          <w:b/>
        </w:rPr>
        <w:t>Antiemetika</w:t>
      </w:r>
      <w:r>
        <w:rPr>
          <w:b/>
          <w:sz w:val="24"/>
        </w:rPr>
        <w:br/>
      </w:r>
      <w:r w:rsidRPr="00061F5C">
        <w:rPr>
          <w:u w:val="single"/>
        </w:rPr>
        <w:t xml:space="preserve">Brækcenter i </w:t>
      </w:r>
      <w:r w:rsidR="00061F5C">
        <w:rPr>
          <w:u w:val="single"/>
        </w:rPr>
        <w:t>medulla oblongata</w:t>
      </w:r>
    </w:p>
    <w:p w:rsidR="00061F5C" w:rsidRPr="00061F5C" w:rsidRDefault="00061F5C" w:rsidP="00061F5C">
      <w:pPr>
        <w:pStyle w:val="Listeafsnit"/>
        <w:numPr>
          <w:ilvl w:val="0"/>
          <w:numId w:val="5"/>
        </w:numPr>
        <w:rPr>
          <w:u w:val="single"/>
        </w:rPr>
      </w:pPr>
      <w:r>
        <w:t>Bunden af 4. ventrikel</w:t>
      </w:r>
    </w:p>
    <w:p w:rsidR="00061F5C" w:rsidRPr="00061F5C" w:rsidRDefault="00061F5C" w:rsidP="00061F5C">
      <w:pPr>
        <w:pStyle w:val="Listeafsnit"/>
        <w:numPr>
          <w:ilvl w:val="0"/>
          <w:numId w:val="5"/>
        </w:numPr>
        <w:rPr>
          <w:u w:val="single"/>
        </w:rPr>
      </w:pPr>
      <w:r>
        <w:t>Udenfor BBB</w:t>
      </w:r>
    </w:p>
    <w:p w:rsidR="00061F5C" w:rsidRPr="00061F5C" w:rsidRDefault="00061F5C" w:rsidP="00061F5C">
      <w:pPr>
        <w:pStyle w:val="Listeafsnit"/>
        <w:numPr>
          <w:ilvl w:val="0"/>
          <w:numId w:val="5"/>
        </w:numPr>
        <w:rPr>
          <w:u w:val="single"/>
        </w:rPr>
      </w:pPr>
      <w:r>
        <w:t xml:space="preserve">Indeholder </w:t>
      </w:r>
      <w:r>
        <w:rPr>
          <w:i/>
        </w:rPr>
        <w:t>kemoreceptor trigger zone (</w:t>
      </w:r>
      <w:proofErr w:type="spellStart"/>
      <w:r>
        <w:rPr>
          <w:i/>
        </w:rPr>
        <w:t>ktz</w:t>
      </w:r>
      <w:proofErr w:type="spellEnd"/>
      <w:r>
        <w:rPr>
          <w:i/>
        </w:rPr>
        <w:t>)</w:t>
      </w:r>
    </w:p>
    <w:p w:rsidR="00061F5C" w:rsidRDefault="00061F5C" w:rsidP="00061F5C">
      <w:pPr>
        <w:pStyle w:val="Listeafsnit"/>
        <w:numPr>
          <w:ilvl w:val="0"/>
          <w:numId w:val="6"/>
        </w:numPr>
        <w:rPr>
          <w:sz w:val="18"/>
        </w:rPr>
      </w:pPr>
      <w:r w:rsidRPr="00061F5C">
        <w:rPr>
          <w:sz w:val="18"/>
        </w:rPr>
        <w:t>Blodbårne emetiske stoffer</w:t>
      </w:r>
    </w:p>
    <w:p w:rsidR="00061F5C" w:rsidRDefault="00061F5C" w:rsidP="00061F5C">
      <w:pPr>
        <w:pStyle w:val="Listeafsnit"/>
        <w:numPr>
          <w:ilvl w:val="0"/>
          <w:numId w:val="6"/>
        </w:numPr>
        <w:rPr>
          <w:sz w:val="18"/>
        </w:rPr>
      </w:pPr>
      <w:r>
        <w:rPr>
          <w:sz w:val="18"/>
        </w:rPr>
        <w:t xml:space="preserve">MTK </w:t>
      </w:r>
    </w:p>
    <w:p w:rsidR="00061F5C" w:rsidRDefault="00061F5C" w:rsidP="00061F5C">
      <w:pPr>
        <w:pStyle w:val="Listeafsnit"/>
        <w:numPr>
          <w:ilvl w:val="0"/>
          <w:numId w:val="6"/>
        </w:numPr>
        <w:rPr>
          <w:sz w:val="18"/>
        </w:rPr>
      </w:pPr>
      <w:r>
        <w:rPr>
          <w:sz w:val="18"/>
        </w:rPr>
        <w:t>Indre øre</w:t>
      </w:r>
    </w:p>
    <w:p w:rsidR="00CB08D0" w:rsidRPr="00061F5C" w:rsidRDefault="00061F5C" w:rsidP="00061F5C">
      <w:pPr>
        <w:pStyle w:val="Listeafsnit"/>
        <w:numPr>
          <w:ilvl w:val="0"/>
          <w:numId w:val="6"/>
        </w:numPr>
        <w:rPr>
          <w:sz w:val="18"/>
        </w:rPr>
      </w:pPr>
      <w:r>
        <w:rPr>
          <w:sz w:val="18"/>
        </w:rPr>
        <w:t>Højere hjernecentre</w:t>
      </w:r>
    </w:p>
    <w:p w:rsidR="00CB08D0" w:rsidRPr="00061F5C" w:rsidRDefault="00CB08D0" w:rsidP="00CB08D0">
      <w:r w:rsidRPr="00061F5C">
        <w:rPr>
          <w:u w:val="single"/>
        </w:rPr>
        <w:t>Neurotransmittere</w:t>
      </w:r>
    </w:p>
    <w:p w:rsidR="00CB08D0" w:rsidRPr="00061F5C" w:rsidRDefault="00CB08D0" w:rsidP="00CB08D0">
      <w:pPr>
        <w:pStyle w:val="Listeafsnit"/>
        <w:numPr>
          <w:ilvl w:val="0"/>
          <w:numId w:val="4"/>
        </w:numPr>
      </w:pPr>
      <w:r w:rsidRPr="00061F5C">
        <w:t>Histamin (via H</w:t>
      </w:r>
      <w:r w:rsidRPr="00061F5C">
        <w:rPr>
          <w:vertAlign w:val="subscript"/>
        </w:rPr>
        <w:t>1</w:t>
      </w:r>
      <w:r w:rsidRPr="00061F5C">
        <w:t>-receptorer)</w:t>
      </w:r>
    </w:p>
    <w:p w:rsidR="00CB08D0" w:rsidRPr="00061F5C" w:rsidRDefault="00CB08D0" w:rsidP="00CB08D0">
      <w:pPr>
        <w:pStyle w:val="Listeafsnit"/>
        <w:numPr>
          <w:ilvl w:val="0"/>
          <w:numId w:val="4"/>
        </w:numPr>
      </w:pPr>
      <w:r w:rsidRPr="00061F5C">
        <w:t>Acetylcholin (via M</w:t>
      </w:r>
      <w:r w:rsidRPr="00061F5C">
        <w:rPr>
          <w:vertAlign w:val="subscript"/>
        </w:rPr>
        <w:t>1</w:t>
      </w:r>
      <w:r w:rsidRPr="00061F5C">
        <w:t>-receptorer)</w:t>
      </w:r>
    </w:p>
    <w:p w:rsidR="00CB08D0" w:rsidRPr="00061F5C" w:rsidRDefault="00CB08D0" w:rsidP="00CB08D0">
      <w:pPr>
        <w:pStyle w:val="Listeafsnit"/>
        <w:numPr>
          <w:ilvl w:val="0"/>
          <w:numId w:val="4"/>
        </w:numPr>
      </w:pPr>
      <w:r w:rsidRPr="00061F5C">
        <w:t>Dopamin (via D</w:t>
      </w:r>
      <w:r w:rsidRPr="00061F5C">
        <w:rPr>
          <w:vertAlign w:val="subscript"/>
        </w:rPr>
        <w:t>2</w:t>
      </w:r>
      <w:r w:rsidRPr="00061F5C">
        <w:t>-receptorer)</w:t>
      </w:r>
    </w:p>
    <w:p w:rsidR="00CB08D0" w:rsidRPr="00061F5C" w:rsidRDefault="00CB08D0" w:rsidP="00CB08D0">
      <w:pPr>
        <w:pStyle w:val="Listeafsnit"/>
        <w:numPr>
          <w:ilvl w:val="0"/>
          <w:numId w:val="4"/>
        </w:numPr>
      </w:pPr>
      <w:r w:rsidRPr="00061F5C">
        <w:t>Serotonin (via 5HT</w:t>
      </w:r>
      <w:r w:rsidRPr="00061F5C">
        <w:rPr>
          <w:vertAlign w:val="subscript"/>
        </w:rPr>
        <w:t>3</w:t>
      </w:r>
      <w:r w:rsidRPr="00061F5C">
        <w:t>-receptorer)</w:t>
      </w:r>
    </w:p>
    <w:p w:rsidR="00CB08D0" w:rsidRDefault="00CB08D0" w:rsidP="00CB08D0">
      <w:pPr>
        <w:rPr>
          <w:noProof/>
          <w:sz w:val="24"/>
        </w:rPr>
      </w:pPr>
    </w:p>
    <w:p w:rsidR="00061F5C" w:rsidRDefault="00061F5C" w:rsidP="00CB08D0">
      <w:pPr>
        <w:rPr>
          <w:sz w:val="24"/>
        </w:rPr>
      </w:pPr>
    </w:p>
    <w:p w:rsidR="00061F5C" w:rsidRDefault="00061F5C" w:rsidP="00CB08D0">
      <w:pPr>
        <w:rPr>
          <w:sz w:val="24"/>
        </w:rPr>
      </w:pPr>
    </w:p>
    <w:p w:rsidR="00061F5C" w:rsidRDefault="00061F5C" w:rsidP="00CB08D0">
      <w:pPr>
        <w:rPr>
          <w:sz w:val="24"/>
        </w:rPr>
      </w:pPr>
    </w:p>
    <w:p w:rsidR="00061F5C" w:rsidRDefault="00061F5C" w:rsidP="00CB08D0">
      <w:pPr>
        <w:rPr>
          <w:sz w:val="24"/>
        </w:rPr>
      </w:pPr>
    </w:p>
    <w:p w:rsidR="00CB08D0" w:rsidRPr="007213B0" w:rsidRDefault="00CB08D0" w:rsidP="00CB08D0">
      <w:pPr>
        <w:rPr>
          <w:color w:val="FF0000"/>
          <w:sz w:val="24"/>
        </w:rPr>
      </w:pPr>
      <w:bookmarkStart w:id="0" w:name="_GoBack"/>
      <w:bookmarkEnd w:id="0"/>
      <w:r w:rsidRPr="00C42769">
        <w:rPr>
          <w:b/>
          <w:color w:val="0070C0"/>
          <w:sz w:val="24"/>
        </w:rPr>
        <w:lastRenderedPageBreak/>
        <w:t>Antiemetika stofliste</w:t>
      </w:r>
      <w:r>
        <w:rPr>
          <w:b/>
          <w:color w:val="0070C0"/>
          <w:sz w:val="24"/>
        </w:rPr>
        <w:t xml:space="preserve"> </w:t>
      </w:r>
    </w:p>
    <w:tbl>
      <w:tblPr>
        <w:tblStyle w:val="Tabel-Gitter"/>
        <w:tblW w:w="10485" w:type="dxa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977"/>
        <w:gridCol w:w="2835"/>
      </w:tblGrid>
      <w:tr w:rsidR="00CB08D0" w:rsidRPr="00FC7806" w:rsidTr="002D5C3D">
        <w:trPr>
          <w:trHeight w:val="136"/>
        </w:trPr>
        <w:tc>
          <w:tcPr>
            <w:tcW w:w="2122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H1-receptor-antagonist</w:t>
            </w:r>
          </w:p>
        </w:tc>
        <w:tc>
          <w:tcPr>
            <w:tcW w:w="2977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</w:t>
            </w:r>
            <w:r>
              <w:rPr>
                <w:b/>
                <w:color w:val="0070C0"/>
                <w:sz w:val="24"/>
                <w:szCs w:val="24"/>
                <w:vertAlign w:val="subscript"/>
              </w:rPr>
              <w:t>1</w:t>
            </w:r>
            <w:r>
              <w:rPr>
                <w:b/>
                <w:color w:val="0070C0"/>
                <w:sz w:val="24"/>
                <w:szCs w:val="24"/>
              </w:rPr>
              <w:t>-receptor-antagonist</w:t>
            </w:r>
          </w:p>
        </w:tc>
        <w:tc>
          <w:tcPr>
            <w:tcW w:w="2835" w:type="dxa"/>
          </w:tcPr>
          <w:p w:rsidR="00CB08D0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D</w:t>
            </w:r>
            <w:r w:rsidRPr="00873A6E">
              <w:rPr>
                <w:b/>
                <w:color w:val="0070C0"/>
                <w:sz w:val="24"/>
                <w:szCs w:val="24"/>
                <w:vertAlign w:val="subscript"/>
              </w:rPr>
              <w:t>2</w:t>
            </w:r>
            <w:r>
              <w:rPr>
                <w:b/>
                <w:color w:val="0070C0"/>
                <w:sz w:val="24"/>
                <w:szCs w:val="24"/>
              </w:rPr>
              <w:t>-receptor-</w:t>
            </w:r>
            <w:r w:rsidRPr="00873A6E">
              <w:rPr>
                <w:b/>
                <w:color w:val="0070C0"/>
                <w:sz w:val="24"/>
                <w:szCs w:val="24"/>
              </w:rPr>
              <w:t>antagonist</w:t>
            </w:r>
          </w:p>
        </w:tc>
      </w:tr>
      <w:tr w:rsidR="00CB08D0" w:rsidRPr="00FC7806" w:rsidTr="002D5C3D">
        <w:trPr>
          <w:trHeight w:val="136"/>
        </w:trPr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551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Histamin-antagonist</w:t>
            </w:r>
          </w:p>
        </w:tc>
        <w:tc>
          <w:tcPr>
            <w:tcW w:w="2977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Acetylcholin-antagonist</w:t>
            </w:r>
          </w:p>
        </w:tc>
        <w:tc>
          <w:tcPr>
            <w:tcW w:w="2835" w:type="dxa"/>
          </w:tcPr>
          <w:p w:rsidR="00CB08D0" w:rsidRPr="009814CC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Dopamin-antagonist</w:t>
            </w:r>
          </w:p>
        </w:tc>
      </w:tr>
      <w:tr w:rsidR="00CB08D0" w:rsidRPr="00FC7806" w:rsidTr="002D5C3D">
        <w:trPr>
          <w:trHeight w:val="254"/>
        </w:trPr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551" w:type="dxa"/>
          </w:tcPr>
          <w:p w:rsidR="00CB08D0" w:rsidRPr="009814CC" w:rsidRDefault="00CB08D0" w:rsidP="002D5C3D">
            <w:pPr>
              <w:rPr>
                <w:b/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H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-receptor i:</w:t>
            </w:r>
          </w:p>
          <w:p w:rsidR="00CB08D0" w:rsidRPr="00061F5C" w:rsidRDefault="00CB08D0" w:rsidP="00CB08D0">
            <w:pPr>
              <w:pStyle w:val="Listeafsnit"/>
              <w:numPr>
                <w:ilvl w:val="0"/>
                <w:numId w:val="1"/>
              </w:numPr>
              <w:rPr>
                <w:sz w:val="20"/>
                <w:szCs w:val="24"/>
              </w:rPr>
            </w:pPr>
            <w:r w:rsidRPr="00061F5C">
              <w:rPr>
                <w:sz w:val="20"/>
                <w:szCs w:val="24"/>
              </w:rPr>
              <w:t>KTZ</w:t>
            </w:r>
          </w:p>
        </w:tc>
        <w:tc>
          <w:tcPr>
            <w:tcW w:w="2977" w:type="dxa"/>
          </w:tcPr>
          <w:p w:rsidR="00CB08D0" w:rsidRPr="009814CC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M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-receptor i:</w:t>
            </w:r>
          </w:p>
          <w:p w:rsidR="00CB08D0" w:rsidRPr="00061F5C" w:rsidRDefault="00CB08D0" w:rsidP="00CB08D0">
            <w:pPr>
              <w:pStyle w:val="Listeafsnit"/>
              <w:numPr>
                <w:ilvl w:val="0"/>
                <w:numId w:val="1"/>
              </w:numPr>
              <w:rPr>
                <w:sz w:val="20"/>
                <w:szCs w:val="24"/>
              </w:rPr>
            </w:pPr>
            <w:r w:rsidRPr="00061F5C">
              <w:rPr>
                <w:sz w:val="20"/>
                <w:szCs w:val="24"/>
              </w:rPr>
              <w:t>KTZ</w:t>
            </w:r>
          </w:p>
        </w:tc>
        <w:tc>
          <w:tcPr>
            <w:tcW w:w="2835" w:type="dxa"/>
          </w:tcPr>
          <w:p w:rsidR="00CB08D0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D</w:t>
            </w:r>
            <w:r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>-receptor i:</w:t>
            </w:r>
          </w:p>
          <w:p w:rsidR="00CB08D0" w:rsidRPr="00061F5C" w:rsidRDefault="00CB08D0" w:rsidP="00061F5C">
            <w:pPr>
              <w:pStyle w:val="Listeafsnit"/>
              <w:numPr>
                <w:ilvl w:val="0"/>
                <w:numId w:val="1"/>
              </w:numPr>
              <w:rPr>
                <w:sz w:val="20"/>
                <w:szCs w:val="24"/>
              </w:rPr>
            </w:pPr>
            <w:r w:rsidRPr="00061F5C">
              <w:rPr>
                <w:sz w:val="20"/>
                <w:szCs w:val="24"/>
              </w:rPr>
              <w:t>KT</w:t>
            </w:r>
            <w:r w:rsidR="00061F5C" w:rsidRPr="00061F5C">
              <w:rPr>
                <w:sz w:val="20"/>
                <w:szCs w:val="24"/>
              </w:rPr>
              <w:t>Z</w:t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551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Kvalmenedsættende</w:t>
            </w:r>
          </w:p>
        </w:tc>
        <w:tc>
          <w:tcPr>
            <w:tcW w:w="2977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Kvalmenedsættende</w:t>
            </w:r>
          </w:p>
        </w:tc>
        <w:tc>
          <w:tcPr>
            <w:tcW w:w="2835" w:type="dxa"/>
          </w:tcPr>
          <w:p w:rsidR="00CB08D0" w:rsidRPr="003F1EE7" w:rsidRDefault="00CB08D0" w:rsidP="002D5C3D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Kvalmenedsættende</w:t>
            </w:r>
            <w:r>
              <w:rPr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t>Typisk ifm. kemoterapi</w:t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551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Evt. sederende (hvis 1. </w:t>
            </w:r>
            <w:proofErr w:type="spellStart"/>
            <w:r>
              <w:rPr>
                <w:sz w:val="20"/>
                <w:szCs w:val="24"/>
              </w:rPr>
              <w:t>generationantihistamin</w:t>
            </w:r>
            <w:proofErr w:type="spellEnd"/>
            <w:r>
              <w:rPr>
                <w:sz w:val="20"/>
                <w:szCs w:val="24"/>
              </w:rPr>
              <w:t>)</w:t>
            </w:r>
          </w:p>
        </w:tc>
        <w:tc>
          <w:tcPr>
            <w:tcW w:w="2977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Mundtørhed</w:t>
            </w:r>
          </w:p>
        </w:tc>
        <w:tc>
          <w:tcPr>
            <w:tcW w:w="2835" w:type="dxa"/>
          </w:tcPr>
          <w:p w:rsidR="00CB08D0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Sederende</w:t>
            </w:r>
            <w:r>
              <w:rPr>
                <w:sz w:val="20"/>
                <w:szCs w:val="24"/>
              </w:rPr>
              <w:br/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551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  <w:r>
              <w:rPr>
                <w:sz w:val="20"/>
                <w:szCs w:val="24"/>
              </w:rPr>
              <w:br/>
              <w:t>Opkast</w:t>
            </w:r>
          </w:p>
        </w:tc>
        <w:tc>
          <w:tcPr>
            <w:tcW w:w="2977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  <w:r>
              <w:rPr>
                <w:sz w:val="20"/>
                <w:szCs w:val="24"/>
              </w:rPr>
              <w:br/>
              <w:t xml:space="preserve">Opkast </w:t>
            </w:r>
          </w:p>
        </w:tc>
        <w:tc>
          <w:tcPr>
            <w:tcW w:w="2835" w:type="dxa"/>
          </w:tcPr>
          <w:p w:rsidR="00CB08D0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Kvalme </w:t>
            </w:r>
            <w:r>
              <w:rPr>
                <w:sz w:val="20"/>
                <w:szCs w:val="24"/>
              </w:rPr>
              <w:br/>
              <w:t xml:space="preserve">Opkast </w:t>
            </w:r>
          </w:p>
        </w:tc>
      </w:tr>
    </w:tbl>
    <w:p w:rsidR="00CB08D0" w:rsidRDefault="00CB08D0" w:rsidP="00CB08D0">
      <w:pPr>
        <w:rPr>
          <w:sz w:val="24"/>
        </w:rPr>
      </w:pPr>
    </w:p>
    <w:tbl>
      <w:tblPr>
        <w:tblStyle w:val="Tabel-Gitter"/>
        <w:tblW w:w="4957" w:type="dxa"/>
        <w:tblLayout w:type="fixed"/>
        <w:tblLook w:val="04A0" w:firstRow="1" w:lastRow="0" w:firstColumn="1" w:lastColumn="0" w:noHBand="0" w:noVBand="1"/>
      </w:tblPr>
      <w:tblGrid>
        <w:gridCol w:w="2122"/>
        <w:gridCol w:w="2835"/>
      </w:tblGrid>
      <w:tr w:rsidR="00CB08D0" w:rsidRPr="00FC7806" w:rsidTr="002D5C3D">
        <w:trPr>
          <w:trHeight w:val="136"/>
        </w:trPr>
        <w:tc>
          <w:tcPr>
            <w:tcW w:w="2122" w:type="dxa"/>
          </w:tcPr>
          <w:p w:rsidR="00CB08D0" w:rsidRPr="007A5F82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08D0" w:rsidRPr="006446E5" w:rsidRDefault="00CB08D0" w:rsidP="002D5C3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5HT</w:t>
            </w:r>
            <w:r>
              <w:rPr>
                <w:b/>
                <w:color w:val="0070C0"/>
                <w:sz w:val="24"/>
                <w:szCs w:val="24"/>
                <w:vertAlign w:val="subscript"/>
              </w:rPr>
              <w:t>3</w:t>
            </w:r>
            <w:r>
              <w:rPr>
                <w:b/>
                <w:color w:val="0070C0"/>
                <w:sz w:val="24"/>
                <w:szCs w:val="24"/>
              </w:rPr>
              <w:t>-receptor-antagonist</w:t>
            </w:r>
          </w:p>
        </w:tc>
      </w:tr>
      <w:tr w:rsidR="00CB08D0" w:rsidRPr="00FC7806" w:rsidTr="002D5C3D">
        <w:trPr>
          <w:trHeight w:val="136"/>
        </w:trPr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Serotonin-receptor-antagonist</w:t>
            </w:r>
          </w:p>
        </w:tc>
      </w:tr>
      <w:tr w:rsidR="00CB08D0" w:rsidRPr="00FC7806" w:rsidTr="002D5C3D">
        <w:trPr>
          <w:trHeight w:val="254"/>
        </w:trPr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CB08D0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5HT</w:t>
            </w:r>
            <w:r>
              <w:rPr>
                <w:sz w:val="20"/>
                <w:szCs w:val="24"/>
                <w:vertAlign w:val="subscript"/>
              </w:rPr>
              <w:t>3</w:t>
            </w:r>
            <w:r>
              <w:rPr>
                <w:sz w:val="20"/>
                <w:szCs w:val="24"/>
              </w:rPr>
              <w:t>-receptor i:</w:t>
            </w:r>
          </w:p>
          <w:p w:rsidR="00CB08D0" w:rsidRPr="00061F5C" w:rsidRDefault="00CB08D0" w:rsidP="00061F5C">
            <w:pPr>
              <w:pStyle w:val="Listeafsnit"/>
              <w:numPr>
                <w:ilvl w:val="0"/>
                <w:numId w:val="1"/>
              </w:numPr>
              <w:rPr>
                <w:sz w:val="20"/>
                <w:szCs w:val="24"/>
              </w:rPr>
            </w:pPr>
            <w:r w:rsidRPr="00061F5C">
              <w:rPr>
                <w:sz w:val="20"/>
                <w:szCs w:val="24"/>
              </w:rPr>
              <w:t xml:space="preserve">KTZ </w:t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Kvalmenedsættende</w:t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Default="00CB08D0" w:rsidP="002D5C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Hovedpine</w:t>
            </w:r>
          </w:p>
        </w:tc>
      </w:tr>
      <w:tr w:rsidR="00CB08D0" w:rsidRPr="001134EE" w:rsidTr="002D5C3D">
        <w:tc>
          <w:tcPr>
            <w:tcW w:w="2122" w:type="dxa"/>
          </w:tcPr>
          <w:p w:rsidR="00CB08D0" w:rsidRPr="00FC7806" w:rsidRDefault="00CB08D0" w:rsidP="002D5C3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CB08D0" w:rsidRPr="007A5F82" w:rsidRDefault="00CB08D0" w:rsidP="002D5C3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Kvalme </w:t>
            </w:r>
            <w:r>
              <w:rPr>
                <w:sz w:val="20"/>
                <w:szCs w:val="24"/>
              </w:rPr>
              <w:br/>
              <w:t>Opkast</w:t>
            </w:r>
          </w:p>
        </w:tc>
      </w:tr>
    </w:tbl>
    <w:p w:rsidR="005854D4" w:rsidRPr="00061F5C" w:rsidRDefault="00061F5C">
      <w:pPr>
        <w:rPr>
          <w:sz w:val="24"/>
        </w:rPr>
      </w:pPr>
      <w:r>
        <w:rPr>
          <w:sz w:val="24"/>
        </w:rPr>
        <w:br/>
      </w:r>
      <w:r w:rsidRPr="00061F5C">
        <w:rPr>
          <w:b/>
        </w:rPr>
        <w:t xml:space="preserve">Andre </w:t>
      </w:r>
      <w:proofErr w:type="spellStart"/>
      <w:r w:rsidRPr="00061F5C">
        <w:rPr>
          <w:b/>
        </w:rPr>
        <w:t>antiemetiske</w:t>
      </w:r>
      <w:proofErr w:type="spellEnd"/>
      <w:r w:rsidRPr="00061F5C">
        <w:rPr>
          <w:b/>
        </w:rPr>
        <w:t xml:space="preserve"> stoffer</w:t>
      </w:r>
      <w:r>
        <w:rPr>
          <w:sz w:val="24"/>
        </w:rPr>
        <w:br/>
      </w:r>
      <w:r>
        <w:t>Antipsykotika</w:t>
      </w:r>
    </w:p>
    <w:sectPr w:rsidR="005854D4" w:rsidRPr="00061F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83D"/>
    <w:multiLevelType w:val="hybridMultilevel"/>
    <w:tmpl w:val="E9B69E12"/>
    <w:lvl w:ilvl="0" w:tplc="AE58D9B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5AD2"/>
    <w:multiLevelType w:val="hybridMultilevel"/>
    <w:tmpl w:val="1F126CA2"/>
    <w:lvl w:ilvl="0" w:tplc="62D63D7C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4C120C"/>
    <w:multiLevelType w:val="hybridMultilevel"/>
    <w:tmpl w:val="B0A8A7CC"/>
    <w:lvl w:ilvl="0" w:tplc="E804775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E71CB"/>
    <w:multiLevelType w:val="hybridMultilevel"/>
    <w:tmpl w:val="38E284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D6FAA"/>
    <w:multiLevelType w:val="hybridMultilevel"/>
    <w:tmpl w:val="3F808C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648D4"/>
    <w:multiLevelType w:val="hybridMultilevel"/>
    <w:tmpl w:val="0C16F854"/>
    <w:lvl w:ilvl="0" w:tplc="4B903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D0"/>
    <w:rsid w:val="00061F5C"/>
    <w:rsid w:val="00444B49"/>
    <w:rsid w:val="005854D4"/>
    <w:rsid w:val="00C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A079"/>
  <w15:chartTrackingRefBased/>
  <w15:docId w15:val="{C5892804-2D62-4FA2-BB7F-12B2D297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08D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B08D0"/>
    <w:pPr>
      <w:ind w:left="720"/>
      <w:contextualSpacing/>
    </w:pPr>
  </w:style>
  <w:style w:type="table" w:styleId="Tabel-Gitter">
    <w:name w:val="Table Grid"/>
    <w:basedOn w:val="Tabel-Normal"/>
    <w:uiPriority w:val="39"/>
    <w:rsid w:val="00CB0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2</cp:revision>
  <dcterms:created xsi:type="dcterms:W3CDTF">2018-01-30T23:35:00Z</dcterms:created>
  <dcterms:modified xsi:type="dcterms:W3CDTF">2018-02-16T00:56:00Z</dcterms:modified>
</cp:coreProperties>
</file>