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D33" w:rsidRDefault="0050758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182880</wp:posOffset>
                </wp:positionV>
                <wp:extent cx="6096000" cy="1404620"/>
                <wp:effectExtent l="57150" t="38100" r="57150" b="6731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2A71" w:rsidRPr="00507588" w:rsidRDefault="00712A71" w:rsidP="00507588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Lægemiddelinteraktion- og </w:t>
                            </w:r>
                            <w:proofErr w:type="spellStart"/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toksilogi</w:t>
                            </w:r>
                            <w:proofErr w:type="spellEnd"/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0;margin-top:14.4pt;width:480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712A71" w:rsidRPr="00507588" w:rsidRDefault="00712A71" w:rsidP="00507588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Lægemiddelinteraktion- og </w:t>
                      </w:r>
                      <w:proofErr w:type="spellStart"/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toksilogi</w:t>
                      </w:r>
                      <w:proofErr w:type="spellEnd"/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sz w:val="32"/>
        </w:rPr>
        <w:t>Lægemiddelinteraktion</w:t>
      </w:r>
      <w:r>
        <w:rPr>
          <w:b/>
          <w:sz w:val="32"/>
        </w:rPr>
        <w:br/>
      </w:r>
      <w:r w:rsidR="00B553AA">
        <w:t xml:space="preserve">Den </w:t>
      </w:r>
      <w:r>
        <w:t xml:space="preserve">situation hvor et samtidigt, forudgående eller fremtidigt indtaget lægemiddel ændrer på </w:t>
      </w:r>
      <w:proofErr w:type="spellStart"/>
      <w:r>
        <w:t>farmakodynamiken</w:t>
      </w:r>
      <w:proofErr w:type="spellEnd"/>
      <w:r>
        <w:t>- eller kinetik</w:t>
      </w:r>
      <w:r w:rsidR="00B553AA">
        <w:t>k</w:t>
      </w:r>
      <w:r>
        <w:t>en for et andet indtaget lægemidd</w:t>
      </w:r>
      <w:r w:rsidRPr="00D51D33">
        <w:t>el.</w:t>
      </w:r>
      <w:r w:rsidR="00D51D33">
        <w:br/>
      </w:r>
      <w:bookmarkStart w:id="0" w:name="_GoBack"/>
      <w:bookmarkEnd w:id="0"/>
      <w:r w:rsidRPr="00D51D33">
        <w:t>Miljømæssige lægemiddelinteraktioner omfatter</w:t>
      </w:r>
      <w:r w:rsidR="00D51D33" w:rsidRPr="00D51D33">
        <w:t xml:space="preserve">: </w:t>
      </w:r>
    </w:p>
    <w:p w:rsidR="00D51D33" w:rsidRDefault="00D51D33" w:rsidP="00D51D33">
      <w:pPr>
        <w:pStyle w:val="Listeafsnit"/>
        <w:numPr>
          <w:ilvl w:val="0"/>
          <w:numId w:val="1"/>
        </w:numPr>
      </w:pPr>
      <w:r>
        <w:t>A</w:t>
      </w:r>
      <w:r w:rsidR="00507588">
        <w:t>lkohol</w:t>
      </w:r>
    </w:p>
    <w:p w:rsidR="00D51D33" w:rsidRDefault="00D51D33" w:rsidP="00D51D33">
      <w:pPr>
        <w:pStyle w:val="Listeafsnit"/>
        <w:numPr>
          <w:ilvl w:val="0"/>
          <w:numId w:val="1"/>
        </w:numPr>
      </w:pPr>
      <w:r>
        <w:t>F</w:t>
      </w:r>
      <w:r w:rsidR="00C53D5D">
        <w:t>ødevarer</w:t>
      </w:r>
    </w:p>
    <w:p w:rsidR="00D51D33" w:rsidRDefault="00D51D33" w:rsidP="00D51D33">
      <w:pPr>
        <w:pStyle w:val="Listeafsnit"/>
        <w:numPr>
          <w:ilvl w:val="0"/>
          <w:numId w:val="1"/>
        </w:numPr>
      </w:pPr>
      <w:r>
        <w:t>T</w:t>
      </w:r>
      <w:r w:rsidR="00C53D5D">
        <w:t>obaksrøg</w:t>
      </w:r>
    </w:p>
    <w:p w:rsidR="00507588" w:rsidRDefault="00507588" w:rsidP="00D51D33">
      <w:r w:rsidRPr="00D51D33">
        <w:rPr>
          <w:b/>
        </w:rPr>
        <w:t>Interaktionstyper</w:t>
      </w:r>
    </w:p>
    <w:p w:rsidR="00507588" w:rsidRPr="00507588" w:rsidRDefault="00507588" w:rsidP="00507588">
      <w:pPr>
        <w:pStyle w:val="Listeafsnit"/>
        <w:numPr>
          <w:ilvl w:val="0"/>
          <w:numId w:val="1"/>
        </w:numPr>
        <w:rPr>
          <w:sz w:val="24"/>
          <w:u w:val="single"/>
        </w:rPr>
      </w:pPr>
      <w:r w:rsidRPr="00507588">
        <w:rPr>
          <w:u w:val="single"/>
        </w:rPr>
        <w:t>Antagonis</w:t>
      </w:r>
      <w:r>
        <w:rPr>
          <w:u w:val="single"/>
        </w:rPr>
        <w:t>tisk interaktion</w:t>
      </w:r>
      <w:r>
        <w:rPr>
          <w:u w:val="single"/>
        </w:rPr>
        <w:br/>
      </w:r>
      <w:r>
        <w:t xml:space="preserve">Lægemiddel x blokerer effekten af lægemiddel y  </w:t>
      </w:r>
      <w:r>
        <w:br/>
      </w:r>
      <w:r>
        <w:rPr>
          <w:i/>
        </w:rPr>
        <w:t>Effekten reduceres</w:t>
      </w:r>
    </w:p>
    <w:p w:rsidR="00507588" w:rsidRPr="00C53D5D" w:rsidRDefault="00507588" w:rsidP="00507588">
      <w:pPr>
        <w:pStyle w:val="Listeafsnit"/>
        <w:numPr>
          <w:ilvl w:val="0"/>
          <w:numId w:val="1"/>
        </w:numPr>
        <w:rPr>
          <w:sz w:val="24"/>
          <w:u w:val="single"/>
        </w:rPr>
      </w:pPr>
      <w:r>
        <w:rPr>
          <w:u w:val="single"/>
        </w:rPr>
        <w:t>Potenserende interaktion</w:t>
      </w:r>
      <w:r w:rsidRPr="00507588">
        <w:rPr>
          <w:sz w:val="32"/>
          <w:u w:val="single"/>
        </w:rPr>
        <w:br/>
      </w:r>
      <w:r w:rsidR="00C53D5D" w:rsidRPr="00C53D5D">
        <w:t>Lægemiddel x øger effekten af lægemiddel y</w:t>
      </w:r>
      <w:r w:rsidR="00C53D5D">
        <w:br/>
      </w:r>
      <w:r w:rsidR="00C53D5D">
        <w:rPr>
          <w:i/>
        </w:rPr>
        <w:t>Effekten øges</w:t>
      </w:r>
    </w:p>
    <w:p w:rsidR="00C53D5D" w:rsidRPr="00C53D5D" w:rsidRDefault="00C53D5D" w:rsidP="00507588">
      <w:pPr>
        <w:pStyle w:val="Listeafsnit"/>
        <w:numPr>
          <w:ilvl w:val="0"/>
          <w:numId w:val="1"/>
        </w:numPr>
        <w:rPr>
          <w:sz w:val="24"/>
          <w:u w:val="single"/>
        </w:rPr>
      </w:pPr>
      <w:r>
        <w:rPr>
          <w:u w:val="single"/>
        </w:rPr>
        <w:t>Additiv interaktion</w:t>
      </w:r>
      <w:r>
        <w:rPr>
          <w:u w:val="single"/>
        </w:rPr>
        <w:br/>
      </w:r>
      <w:r>
        <w:t xml:space="preserve">Lægemiddel x og lægemiddel y har tilsvarende effekt – lægemiddel x’ effekt tilføjes således til effekten af lægemiddel y (den adderes). </w:t>
      </w:r>
      <w:r>
        <w:br/>
      </w:r>
      <w:r>
        <w:rPr>
          <w:i/>
        </w:rPr>
        <w:t>Effekten øges</w:t>
      </w:r>
    </w:p>
    <w:p w:rsidR="00C53D5D" w:rsidRPr="004E2E21" w:rsidRDefault="00C53D5D" w:rsidP="00C53D5D">
      <w:pPr>
        <w:pStyle w:val="Listeafsnit"/>
        <w:numPr>
          <w:ilvl w:val="0"/>
          <w:numId w:val="1"/>
        </w:numPr>
        <w:rPr>
          <w:sz w:val="24"/>
          <w:u w:val="single"/>
        </w:rPr>
      </w:pPr>
      <w:r>
        <w:rPr>
          <w:u w:val="single"/>
        </w:rPr>
        <w:t>Synergistisk interaktion</w:t>
      </w:r>
      <w:r>
        <w:rPr>
          <w:u w:val="single"/>
        </w:rPr>
        <w:br/>
      </w:r>
      <w:r>
        <w:t xml:space="preserve">Lægemiddel x og lægemiddel y </w:t>
      </w:r>
      <w:r>
        <w:rPr>
          <w:i/>
        </w:rPr>
        <w:t>afhænger</w:t>
      </w:r>
      <w:r>
        <w:t xml:space="preserve"> af hinanden</w:t>
      </w:r>
      <w:r>
        <w:br/>
      </w:r>
      <w:r>
        <w:rPr>
          <w:i/>
        </w:rPr>
        <w:t>Effekten</w:t>
      </w:r>
      <w:r w:rsidR="00B553AA">
        <w:rPr>
          <w:i/>
        </w:rPr>
        <w:t xml:space="preserve"> er konstant</w:t>
      </w:r>
    </w:p>
    <w:p w:rsidR="004E2E21" w:rsidRPr="004E2E21" w:rsidRDefault="004E2E21" w:rsidP="004E2E21">
      <w:r>
        <w:t>Desuden:</w:t>
      </w:r>
    </w:p>
    <w:p w:rsidR="004944B1" w:rsidRPr="004944B1" w:rsidRDefault="00C53D5D" w:rsidP="004944B1">
      <w:pPr>
        <w:pStyle w:val="Listeafsnit"/>
        <w:numPr>
          <w:ilvl w:val="0"/>
          <w:numId w:val="1"/>
        </w:numPr>
        <w:rPr>
          <w:sz w:val="24"/>
          <w:u w:val="single"/>
        </w:rPr>
      </w:pPr>
      <w:r>
        <w:rPr>
          <w:u w:val="single"/>
        </w:rPr>
        <w:t>Uønske</w:t>
      </w:r>
      <w:r w:rsidR="004944B1">
        <w:rPr>
          <w:u w:val="single"/>
        </w:rPr>
        <w:t>t</w:t>
      </w:r>
      <w:r>
        <w:rPr>
          <w:u w:val="single"/>
        </w:rPr>
        <w:t xml:space="preserve"> int</w:t>
      </w:r>
      <w:r w:rsidR="004944B1">
        <w:rPr>
          <w:u w:val="single"/>
        </w:rPr>
        <w:t>eraktion</w:t>
      </w:r>
      <w:r w:rsidR="004944B1">
        <w:rPr>
          <w:u w:val="single"/>
        </w:rPr>
        <w:br/>
      </w:r>
      <w:r w:rsidR="004944B1">
        <w:t xml:space="preserve">Når interaktion medfører uønsket antagonistisk eller toxilogisk reaktion </w:t>
      </w:r>
    </w:p>
    <w:p w:rsidR="004944B1" w:rsidRPr="00B553AA" w:rsidRDefault="004944B1" w:rsidP="004944B1">
      <w:pPr>
        <w:pStyle w:val="Listeafsnit"/>
        <w:numPr>
          <w:ilvl w:val="0"/>
          <w:numId w:val="1"/>
        </w:numPr>
        <w:rPr>
          <w:sz w:val="24"/>
          <w:u w:val="single"/>
        </w:rPr>
      </w:pPr>
      <w:r>
        <w:rPr>
          <w:u w:val="single"/>
        </w:rPr>
        <w:t>Ønsket interaktion</w:t>
      </w:r>
      <w:r>
        <w:rPr>
          <w:u w:val="single"/>
        </w:rPr>
        <w:br/>
      </w:r>
      <w:r>
        <w:t>Når interaktion medfører ønsket behandlingsresultat</w:t>
      </w:r>
    </w:p>
    <w:p w:rsidR="00B553AA" w:rsidRPr="004944B1" w:rsidRDefault="00B553AA" w:rsidP="004944B1">
      <w:pPr>
        <w:pStyle w:val="Listeafsnit"/>
        <w:numPr>
          <w:ilvl w:val="0"/>
          <w:numId w:val="1"/>
        </w:numPr>
        <w:rPr>
          <w:sz w:val="24"/>
          <w:u w:val="single"/>
        </w:rPr>
      </w:pPr>
      <w:r>
        <w:rPr>
          <w:u w:val="single"/>
        </w:rPr>
        <w:t>Uforudset</w:t>
      </w:r>
      <w:r>
        <w:rPr>
          <w:u w:val="single"/>
        </w:rPr>
        <w:br/>
      </w:r>
      <w:r>
        <w:t>Når interaktion er uventet</w:t>
      </w:r>
    </w:p>
    <w:p w:rsidR="004944B1" w:rsidRDefault="004944B1" w:rsidP="004E2E21">
      <w:r>
        <w:rPr>
          <w:b/>
        </w:rPr>
        <w:t>Interaktioner hos ældre</w:t>
      </w:r>
      <w:r w:rsidR="004E2E21">
        <w:rPr>
          <w:b/>
        </w:rPr>
        <w:br/>
      </w:r>
      <w:r w:rsidR="004E2E21">
        <w:t xml:space="preserve">Interaktionsfrekvensen er stigende proportionalt med alder. Det skyldes bl.a. </w:t>
      </w:r>
    </w:p>
    <w:p w:rsidR="004E2E21" w:rsidRDefault="004E2E21" w:rsidP="004E2E21">
      <w:pPr>
        <w:pStyle w:val="Listeafsnit"/>
        <w:numPr>
          <w:ilvl w:val="0"/>
          <w:numId w:val="3"/>
        </w:numPr>
      </w:pPr>
      <w:r>
        <w:t>Øget virkningsfølsomhed</w:t>
      </w:r>
    </w:p>
    <w:p w:rsidR="00B553AA" w:rsidRDefault="00B553AA" w:rsidP="004E2E21">
      <w:pPr>
        <w:pStyle w:val="Listeafsnit"/>
        <w:numPr>
          <w:ilvl w:val="0"/>
          <w:numId w:val="3"/>
        </w:numPr>
      </w:pPr>
      <w:r>
        <w:t>Øget sygdomsforekomst</w:t>
      </w:r>
    </w:p>
    <w:p w:rsidR="00B553AA" w:rsidRDefault="00B553AA" w:rsidP="00B553AA">
      <w:pPr>
        <w:pStyle w:val="Listeafsnit"/>
        <w:numPr>
          <w:ilvl w:val="0"/>
          <w:numId w:val="3"/>
        </w:numPr>
      </w:pPr>
      <w:r>
        <w:t xml:space="preserve">Polyfarmaci </w:t>
      </w:r>
    </w:p>
    <w:p w:rsidR="00B553AA" w:rsidRDefault="004E2E21" w:rsidP="004E2E21">
      <w:pPr>
        <w:pStyle w:val="Listeafsnit"/>
        <w:numPr>
          <w:ilvl w:val="0"/>
          <w:numId w:val="3"/>
        </w:numPr>
      </w:pPr>
      <w:r>
        <w:t xml:space="preserve">Nedsat </w:t>
      </w:r>
      <w:proofErr w:type="spellStart"/>
      <w:r>
        <w:t>renal</w:t>
      </w:r>
      <w:proofErr w:type="spellEnd"/>
      <w:r>
        <w:t xml:space="preserve"> og hepatisk eliminationsevn</w:t>
      </w:r>
      <w:r w:rsidR="00B553AA">
        <w:t>e</w:t>
      </w:r>
    </w:p>
    <w:p w:rsidR="00D51D33" w:rsidRPr="00D51D33" w:rsidRDefault="00D51D33" w:rsidP="004944B1">
      <w:pPr>
        <w:rPr>
          <w:b/>
        </w:rPr>
      </w:pPr>
      <w:r>
        <w:rPr>
          <w:b/>
        </w:rPr>
        <w:t>Farmakokinetiske interaktioner</w:t>
      </w:r>
    </w:p>
    <w:p w:rsidR="004944B1" w:rsidRPr="00B553AA" w:rsidRDefault="00B553AA" w:rsidP="00B553AA">
      <w:pPr>
        <w:pStyle w:val="Listeafsnit"/>
        <w:numPr>
          <w:ilvl w:val="0"/>
          <w:numId w:val="4"/>
        </w:numPr>
        <w:rPr>
          <w:u w:val="single"/>
        </w:rPr>
      </w:pPr>
      <w:proofErr w:type="spellStart"/>
      <w:r w:rsidRPr="00B553AA">
        <w:rPr>
          <w:u w:val="single"/>
        </w:rPr>
        <w:lastRenderedPageBreak/>
        <w:t>Gastrointestinal</w:t>
      </w:r>
      <w:proofErr w:type="spellEnd"/>
      <w:r w:rsidRPr="00B553AA">
        <w:rPr>
          <w:u w:val="single"/>
        </w:rPr>
        <w:t xml:space="preserve"> absorption</w:t>
      </w:r>
    </w:p>
    <w:p w:rsidR="00B553AA" w:rsidRDefault="00B553AA" w:rsidP="00B553AA">
      <w:pPr>
        <w:pStyle w:val="Listeafsnit"/>
      </w:pPr>
      <w:r>
        <w:t>F.eks. mælkeprodukter og tetracyklin: nedsat absorption ved indtag af di- og trivalente kationer</w:t>
      </w:r>
    </w:p>
    <w:p w:rsidR="00B553AA" w:rsidRPr="00B553AA" w:rsidRDefault="00B553AA" w:rsidP="00B553AA">
      <w:pPr>
        <w:pStyle w:val="Listeafsnit"/>
        <w:numPr>
          <w:ilvl w:val="0"/>
          <w:numId w:val="4"/>
        </w:numPr>
        <w:rPr>
          <w:u w:val="single"/>
        </w:rPr>
      </w:pPr>
      <w:r w:rsidRPr="00B553AA">
        <w:rPr>
          <w:u w:val="single"/>
        </w:rPr>
        <w:t>Plasmaproteinbinding</w:t>
      </w:r>
      <w:r>
        <w:rPr>
          <w:u w:val="single"/>
        </w:rPr>
        <w:br/>
      </w:r>
      <w:r>
        <w:t xml:space="preserve">Ved indgift af to farmaka med høj blodopløselighed kan antallet af frie plasmamolekyler stige som følge af </w:t>
      </w:r>
      <w:r w:rsidR="00127BE2">
        <w:t>”</w:t>
      </w:r>
      <w:r>
        <w:t>antagonistisk</w:t>
      </w:r>
      <w:r w:rsidR="00127BE2">
        <w:t>”</w:t>
      </w:r>
      <w:r>
        <w:t xml:space="preserve"> effekt</w:t>
      </w:r>
      <w:r w:rsidR="00127BE2">
        <w:t xml:space="preserve"> </w:t>
      </w:r>
      <w:r>
        <w:t xml:space="preserve"> </w:t>
      </w:r>
    </w:p>
    <w:p w:rsidR="00B553AA" w:rsidRPr="00B553AA" w:rsidRDefault="00B553AA" w:rsidP="00B553AA">
      <w:pPr>
        <w:pStyle w:val="Listeafsnit"/>
        <w:numPr>
          <w:ilvl w:val="0"/>
          <w:numId w:val="4"/>
        </w:numPr>
        <w:rPr>
          <w:u w:val="single"/>
        </w:rPr>
      </w:pPr>
      <w:r>
        <w:rPr>
          <w:u w:val="single"/>
        </w:rPr>
        <w:t>Leveromsætning</w:t>
      </w:r>
      <w:r>
        <w:rPr>
          <w:u w:val="single"/>
        </w:rPr>
        <w:br/>
      </w:r>
      <w:r>
        <w:rPr>
          <w:i/>
        </w:rPr>
        <w:t>Øget</w:t>
      </w:r>
      <w:r>
        <w:rPr>
          <w:i/>
        </w:rPr>
        <w:br/>
      </w:r>
      <w:r>
        <w:t>F.eks. rygning: øger leveromsætning (metabolit kan enten øge eller nedsætte effekt)</w:t>
      </w:r>
    </w:p>
    <w:p w:rsidR="00B553AA" w:rsidRDefault="00B553AA" w:rsidP="00B553AA">
      <w:pPr>
        <w:pStyle w:val="Listeafsnit"/>
      </w:pPr>
      <w:r>
        <w:rPr>
          <w:i/>
        </w:rPr>
        <w:t>Nedsat</w:t>
      </w:r>
      <w:r>
        <w:rPr>
          <w:i/>
        </w:rPr>
        <w:br/>
      </w:r>
      <w:r>
        <w:t>Nedsat clearance og øget halveringstid – skyldes ofte inhibering af CYP</w:t>
      </w:r>
    </w:p>
    <w:p w:rsidR="00B553AA" w:rsidRPr="00D51D33" w:rsidRDefault="00B553AA" w:rsidP="00B553AA">
      <w:pPr>
        <w:pStyle w:val="Listeafsnit"/>
        <w:numPr>
          <w:ilvl w:val="0"/>
          <w:numId w:val="4"/>
        </w:numPr>
        <w:rPr>
          <w:u w:val="single"/>
        </w:rPr>
      </w:pPr>
      <w:proofErr w:type="spellStart"/>
      <w:r>
        <w:rPr>
          <w:u w:val="single"/>
        </w:rPr>
        <w:t>Renal</w:t>
      </w:r>
      <w:proofErr w:type="spellEnd"/>
      <w:r>
        <w:rPr>
          <w:u w:val="single"/>
        </w:rPr>
        <w:t xml:space="preserve"> udskillelse</w:t>
      </w:r>
      <w:r>
        <w:rPr>
          <w:u w:val="single"/>
        </w:rPr>
        <w:br/>
      </w:r>
      <w:r>
        <w:t xml:space="preserve">Ved indgift af to eller flere farmaka af typen svage syre kan </w:t>
      </w:r>
      <w:proofErr w:type="spellStart"/>
      <w:r>
        <w:t>renal</w:t>
      </w:r>
      <w:proofErr w:type="spellEnd"/>
      <w:r>
        <w:t xml:space="preserve"> elimination nedsættes </w:t>
      </w:r>
      <w:r>
        <w:sym w:font="Wingdings" w:char="F0E0"/>
      </w:r>
      <w:r>
        <w:t xml:space="preserve"> de anvender samme pathway og </w:t>
      </w:r>
      <w:r w:rsidR="00D51D33">
        <w:t>den renale udskillelse danner således en slags flaskehals</w:t>
      </w:r>
    </w:p>
    <w:p w:rsidR="00D51D33" w:rsidRDefault="00D51D33" w:rsidP="00D51D33">
      <w:r>
        <w:rPr>
          <w:b/>
        </w:rPr>
        <w:t>Farmakodynamiske interaktioner</w:t>
      </w:r>
    </w:p>
    <w:p w:rsidR="00D51D33" w:rsidRDefault="00D51D33" w:rsidP="00D51D33">
      <w:pPr>
        <w:pStyle w:val="Listeafsnit"/>
        <w:numPr>
          <w:ilvl w:val="0"/>
          <w:numId w:val="4"/>
        </w:numPr>
      </w:pPr>
      <w:r>
        <w:rPr>
          <w:u w:val="single"/>
        </w:rPr>
        <w:t>Receptorer</w:t>
      </w:r>
      <w:r>
        <w:rPr>
          <w:u w:val="single"/>
        </w:rPr>
        <w:br/>
      </w:r>
      <w:r>
        <w:t>Synergisme</w:t>
      </w:r>
      <w:r>
        <w:br/>
        <w:t>Antagonisme</w:t>
      </w:r>
      <w:r>
        <w:br/>
        <w:t>Potensering</w:t>
      </w:r>
      <w:r>
        <w:br/>
        <w:t>Additiv</w:t>
      </w:r>
      <w:r>
        <w:br/>
        <w:t>M.v.</w:t>
      </w:r>
    </w:p>
    <w:p w:rsidR="00D51D33" w:rsidRDefault="00127BE2" w:rsidP="00D51D33">
      <w:pPr>
        <w:pStyle w:val="Listeafsnit"/>
        <w:numPr>
          <w:ilvl w:val="0"/>
          <w:numId w:val="4"/>
        </w:numPr>
      </w:pPr>
      <w:r>
        <w:rPr>
          <w:u w:val="single"/>
        </w:rPr>
        <w:t>Enzymer</w:t>
      </w:r>
      <w:r>
        <w:rPr>
          <w:u w:val="single"/>
        </w:rPr>
        <w:br/>
      </w:r>
      <w:r>
        <w:t>Potenserende</w:t>
      </w:r>
      <w:r>
        <w:br/>
      </w:r>
      <w:proofErr w:type="spellStart"/>
      <w:r>
        <w:t>Antagoniserende</w:t>
      </w:r>
      <w:proofErr w:type="spellEnd"/>
    </w:p>
    <w:p w:rsidR="00D51D33" w:rsidRDefault="00D51D33" w:rsidP="00D51D33">
      <w:pPr>
        <w:rPr>
          <w:u w:val="single"/>
        </w:rPr>
      </w:pPr>
      <w:r>
        <w:rPr>
          <w:b/>
        </w:rPr>
        <w:t>Håndtering af lægemiddelinteraktioner</w:t>
      </w:r>
    </w:p>
    <w:p w:rsidR="00D51D33" w:rsidRPr="00D51D33" w:rsidRDefault="00D51D33" w:rsidP="00D51D33">
      <w:pPr>
        <w:pStyle w:val="Listeafsnit"/>
        <w:numPr>
          <w:ilvl w:val="0"/>
          <w:numId w:val="5"/>
        </w:numPr>
        <w:rPr>
          <w:u w:val="single"/>
        </w:rPr>
      </w:pPr>
      <w:r>
        <w:rPr>
          <w:u w:val="single"/>
        </w:rPr>
        <w:t>Farmakokinetiske</w:t>
      </w:r>
      <w:r>
        <w:rPr>
          <w:u w:val="single"/>
        </w:rPr>
        <w:br/>
      </w:r>
      <w:r>
        <w:t xml:space="preserve">Ikke absolut kontraindiceret </w:t>
      </w:r>
      <w:r>
        <w:sym w:font="Wingdings" w:char="F0E0"/>
      </w:r>
      <w:r>
        <w:t xml:space="preserve"> hyppig kontrol og dosisregulering nødvendig, kortvarig behandling tilskyndes</w:t>
      </w:r>
      <w:r>
        <w:br/>
      </w:r>
      <w:r>
        <w:rPr>
          <w:i/>
        </w:rPr>
        <w:t>Bør dog undgås</w:t>
      </w:r>
    </w:p>
    <w:p w:rsidR="00D51D33" w:rsidRPr="00D51D33" w:rsidRDefault="00D51D33" w:rsidP="00D51D33">
      <w:pPr>
        <w:pStyle w:val="Listeafsnit"/>
        <w:numPr>
          <w:ilvl w:val="0"/>
          <w:numId w:val="5"/>
        </w:numPr>
        <w:rPr>
          <w:u w:val="single"/>
        </w:rPr>
      </w:pPr>
      <w:r>
        <w:rPr>
          <w:u w:val="single"/>
        </w:rPr>
        <w:t>Farmakodynamiske</w:t>
      </w:r>
      <w:r>
        <w:rPr>
          <w:u w:val="single"/>
        </w:rPr>
        <w:br/>
      </w:r>
      <w:r>
        <w:rPr>
          <w:i/>
        </w:rPr>
        <w:t>Som hovedregel absolut kontraindiceret</w:t>
      </w:r>
    </w:p>
    <w:p w:rsidR="00D51D33" w:rsidRPr="00712A71" w:rsidRDefault="00D51D33" w:rsidP="00D51D33">
      <w:r>
        <w:rPr>
          <w:b/>
          <w:sz w:val="32"/>
        </w:rPr>
        <w:t xml:space="preserve">Lægemiddeltoksilogi </w:t>
      </w:r>
      <w:r>
        <w:rPr>
          <w:b/>
          <w:sz w:val="32"/>
        </w:rPr>
        <w:br/>
      </w:r>
      <w:r w:rsidRPr="00D51D33">
        <w:rPr>
          <w:i/>
        </w:rPr>
        <w:t>Stofs evne til i given dosis at fremkalde kritisk effekt i organismen</w:t>
      </w:r>
      <w:r>
        <w:rPr>
          <w:i/>
        </w:rPr>
        <w:br/>
      </w:r>
      <w:r>
        <w:t>Inddeles på baggrund af LD</w:t>
      </w:r>
      <w:r>
        <w:rPr>
          <w:vertAlign w:val="subscript"/>
        </w:rPr>
        <w:t>50</w:t>
      </w:r>
      <w:r>
        <w:t xml:space="preserve"> (den dosis der dræber 50 % af doseret population)</w:t>
      </w:r>
      <w:r>
        <w:br/>
      </w:r>
      <w:r>
        <w:br/>
      </w:r>
      <w:r>
        <w:rPr>
          <w:u w:val="single"/>
        </w:rPr>
        <w:t>Akut toksicitet (reversibel)</w:t>
      </w:r>
      <w:r>
        <w:rPr>
          <w:u w:val="single"/>
        </w:rPr>
        <w:br/>
      </w:r>
      <w:r>
        <w:t xml:space="preserve">Forekommer under eksponering </w:t>
      </w:r>
      <w:r>
        <w:br/>
        <w:t>Forsvinder efter elimination</w:t>
      </w:r>
      <w:r>
        <w:rPr>
          <w:u w:val="single"/>
        </w:rPr>
        <w:br/>
      </w:r>
      <w:r>
        <w:rPr>
          <w:u w:val="single"/>
        </w:rPr>
        <w:br/>
        <w:t>Kronisk toksicitet (irreversibel)</w:t>
      </w:r>
      <w:r>
        <w:rPr>
          <w:u w:val="single"/>
        </w:rPr>
        <w:br/>
      </w:r>
      <w:r>
        <w:t>Evt. som følge af akut toksicitet</w:t>
      </w:r>
      <w:r>
        <w:br/>
      </w:r>
      <w:r w:rsidR="009938AF">
        <w:t>Forsvinder ikke efter elimination</w:t>
      </w:r>
      <w:r w:rsidR="009938AF">
        <w:br/>
      </w:r>
    </w:p>
    <w:sectPr w:rsidR="00D51D33" w:rsidRPr="00712A7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60F6C"/>
    <w:multiLevelType w:val="hybridMultilevel"/>
    <w:tmpl w:val="C9C088D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16DBB"/>
    <w:multiLevelType w:val="hybridMultilevel"/>
    <w:tmpl w:val="0068053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65665"/>
    <w:multiLevelType w:val="hybridMultilevel"/>
    <w:tmpl w:val="4BE64F5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63CC3"/>
    <w:multiLevelType w:val="hybridMultilevel"/>
    <w:tmpl w:val="2C0E9F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E014E8"/>
    <w:multiLevelType w:val="hybridMultilevel"/>
    <w:tmpl w:val="7B6A16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588"/>
    <w:rsid w:val="00127BE2"/>
    <w:rsid w:val="00444B49"/>
    <w:rsid w:val="004944B1"/>
    <w:rsid w:val="004E2E21"/>
    <w:rsid w:val="00507588"/>
    <w:rsid w:val="005854D4"/>
    <w:rsid w:val="00712A71"/>
    <w:rsid w:val="009938AF"/>
    <w:rsid w:val="00B553AA"/>
    <w:rsid w:val="00C53D5D"/>
    <w:rsid w:val="00D51D33"/>
    <w:rsid w:val="00E0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A915"/>
  <w15:chartTrackingRefBased/>
  <w15:docId w15:val="{D88CB78B-42AF-4D1B-B0D4-1FF600D6D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507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359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3</cp:revision>
  <dcterms:created xsi:type="dcterms:W3CDTF">2018-02-11T01:04:00Z</dcterms:created>
  <dcterms:modified xsi:type="dcterms:W3CDTF">2018-02-20T19:26:00Z</dcterms:modified>
</cp:coreProperties>
</file>