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92755" w14:textId="77777777" w:rsidR="00DE61D8" w:rsidRPr="00E46807" w:rsidRDefault="00E46807" w:rsidP="00DE61D8">
      <w:pPr>
        <w:rPr>
          <w:b/>
          <w:sz w:val="32"/>
        </w:rPr>
      </w:pPr>
      <w:r w:rsidRPr="00E46807">
        <w:rPr>
          <w:b/>
          <w:noProof/>
          <w:sz w:val="32"/>
          <w:lang w:eastAsia="da-D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33AF02" wp14:editId="6DCDB78A">
                <wp:simplePos x="0" y="0"/>
                <wp:positionH relativeFrom="margin">
                  <wp:posOffset>-34290</wp:posOffset>
                </wp:positionH>
                <wp:positionV relativeFrom="paragraph">
                  <wp:posOffset>38100</wp:posOffset>
                </wp:positionV>
                <wp:extent cx="6467475" cy="752475"/>
                <wp:effectExtent l="57150" t="38100" r="66675" b="85725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7524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0F7B51" w14:textId="77777777" w:rsidR="00E46807" w:rsidRPr="00E46807" w:rsidRDefault="00E46807" w:rsidP="00E46807">
                            <w:pPr>
                              <w:jc w:val="center"/>
                              <w:rPr>
                                <w:b/>
                                <w:outline/>
                                <w:color w:val="4472C4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LÆRINGSMÅL 1</w:t>
                            </w: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br/>
                            </w: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TÆNDER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33AF02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-2.7pt;margin-top:3pt;width:509.25pt;height:5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" fillcolor="#4f7ac7 [3032]" stroked="f">
                <v:fill color2="#416fc3 [3176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2F0F7B51" w14:textId="77777777" w:rsidR="00E46807" w:rsidRPr="00E46807" w:rsidRDefault="00E46807" w:rsidP="00E46807">
                      <w:pPr>
                        <w:jc w:val="center"/>
                        <w:rPr>
                          <w:b/>
                          <w:outline/>
                          <w:color w:val="4472C4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4472C4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LÆRINGSMÅL 1</w:t>
                      </w:r>
                      <w:r>
                        <w:rPr>
                          <w:b/>
                          <w:outline/>
                          <w:color w:val="4472C4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br/>
                      </w:r>
                      <w:r>
                        <w:rPr>
                          <w:b/>
                          <w:outline/>
                          <w:color w:val="4472C4" w:themeColor="accent5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TÆNDER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E61D8" w:rsidRPr="005F62B2">
        <w:rPr>
          <w:b/>
          <w:sz w:val="24"/>
        </w:rPr>
        <w:t>Man skal kunne beskrive emaljens opbygning og herunder også nævne hvordan den ultrastrukturelt er sammensat, samt hvorfor den kan gå i opløsning i munden</w:t>
      </w:r>
      <w:r w:rsidR="00DE61D8">
        <w:rPr>
          <w:b/>
          <w:sz w:val="24"/>
        </w:rPr>
        <w:br/>
      </w:r>
      <w:r w:rsidR="00DE61D8">
        <w:rPr>
          <w:sz w:val="24"/>
        </w:rPr>
        <w:t xml:space="preserve">Emaljen dannes af </w:t>
      </w:r>
      <w:r w:rsidR="00DE61D8" w:rsidRPr="005D1A77">
        <w:rPr>
          <w:sz w:val="24"/>
          <w:highlight w:val="yellow"/>
        </w:rPr>
        <w:t>sekretoriske ameloblaster</w:t>
      </w:r>
      <w:r w:rsidR="00DE61D8">
        <w:rPr>
          <w:sz w:val="24"/>
        </w:rPr>
        <w:t>, der efter emaljesyntesen går bort (hvorfor emalje ej kan gendannes). Emaljen består</w:t>
      </w:r>
      <w:r w:rsidR="00B352DB">
        <w:rPr>
          <w:sz w:val="24"/>
        </w:rPr>
        <w:t xml:space="preserve"> af</w:t>
      </w:r>
      <w:r w:rsidR="00DE61D8">
        <w:rPr>
          <w:sz w:val="24"/>
        </w:rPr>
        <w:t xml:space="preserve"> </w:t>
      </w:r>
      <w:proofErr w:type="spellStart"/>
      <w:r w:rsidR="00DE61D8" w:rsidRPr="005D1A77">
        <w:rPr>
          <w:sz w:val="24"/>
          <w:highlight w:val="yellow"/>
        </w:rPr>
        <w:t>hydroxylapatitkrystaller</w:t>
      </w:r>
      <w:proofErr w:type="spellEnd"/>
      <w:r w:rsidR="00DE61D8">
        <w:rPr>
          <w:sz w:val="24"/>
        </w:rPr>
        <w:t xml:space="preserve"> (fremover HAP) som kemisk udgøres af </w:t>
      </w:r>
      <w:r w:rsidR="00DE61D8" w:rsidRPr="005D1A77">
        <w:rPr>
          <w:sz w:val="24"/>
          <w:highlight w:val="yellow"/>
        </w:rPr>
        <w:t>Ca</w:t>
      </w:r>
      <w:r w:rsidR="00DE61D8" w:rsidRPr="005D1A77">
        <w:rPr>
          <w:sz w:val="24"/>
          <w:highlight w:val="yellow"/>
          <w:vertAlign w:val="subscript"/>
        </w:rPr>
        <w:t>10</w:t>
      </w:r>
      <w:r w:rsidR="00DE61D8" w:rsidRPr="005D1A77">
        <w:rPr>
          <w:sz w:val="24"/>
          <w:highlight w:val="yellow"/>
        </w:rPr>
        <w:t>(PO</w:t>
      </w:r>
      <w:r w:rsidR="00DE61D8" w:rsidRPr="005D1A77">
        <w:rPr>
          <w:sz w:val="24"/>
          <w:highlight w:val="yellow"/>
          <w:vertAlign w:val="subscript"/>
        </w:rPr>
        <w:t>4</w:t>
      </w:r>
      <w:r w:rsidR="00DE61D8" w:rsidRPr="005D1A77">
        <w:rPr>
          <w:sz w:val="24"/>
          <w:highlight w:val="yellow"/>
        </w:rPr>
        <w:t>)</w:t>
      </w:r>
      <w:r w:rsidR="00DE61D8" w:rsidRPr="005D1A77">
        <w:rPr>
          <w:sz w:val="24"/>
          <w:highlight w:val="yellow"/>
          <w:vertAlign w:val="subscript"/>
        </w:rPr>
        <w:t>6</w:t>
      </w:r>
      <w:r w:rsidR="00DE61D8" w:rsidRPr="005D1A77">
        <w:rPr>
          <w:sz w:val="24"/>
          <w:highlight w:val="yellow"/>
        </w:rPr>
        <w:t>(OH)</w:t>
      </w:r>
      <w:r w:rsidR="00DE61D8" w:rsidRPr="005D1A77">
        <w:rPr>
          <w:sz w:val="24"/>
          <w:highlight w:val="yellow"/>
          <w:vertAlign w:val="subscript"/>
        </w:rPr>
        <w:t>2</w:t>
      </w:r>
      <w:r w:rsidR="00DE61D8" w:rsidRPr="00CC67AF">
        <w:rPr>
          <w:sz w:val="24"/>
        </w:rPr>
        <w:t xml:space="preserve"> </w:t>
      </w:r>
      <w:r w:rsidR="00DE61D8">
        <w:rPr>
          <w:sz w:val="24"/>
        </w:rPr>
        <w:t xml:space="preserve">– også kendt som enhedscellen. I teorien udgøres hver enkelt HAP af mange enhedsceller. Enhedscellen forbliver dog teoretisk, idet den ej er en selvstændig struktur; blot en kemisk formel </w:t>
      </w:r>
      <w:r w:rsidR="005F62B2">
        <w:rPr>
          <w:sz w:val="24"/>
        </w:rPr>
        <w:t>der illustrerer sammensætning</w:t>
      </w:r>
      <w:r w:rsidR="00A1260E">
        <w:rPr>
          <w:sz w:val="24"/>
        </w:rPr>
        <w:t>/indbyrdes mineralforhold</w:t>
      </w:r>
      <w:r w:rsidR="00DE61D8">
        <w:rPr>
          <w:sz w:val="24"/>
        </w:rPr>
        <w:t xml:space="preserve">. HAP arrangeres i </w:t>
      </w:r>
      <w:r w:rsidR="00DE61D8" w:rsidRPr="001548DA">
        <w:rPr>
          <w:sz w:val="24"/>
          <w:highlight w:val="yellow"/>
        </w:rPr>
        <w:t xml:space="preserve">prismer og </w:t>
      </w:r>
      <w:proofErr w:type="spellStart"/>
      <w:r w:rsidR="00DE61D8" w:rsidRPr="001548DA">
        <w:rPr>
          <w:sz w:val="24"/>
          <w:highlight w:val="yellow"/>
        </w:rPr>
        <w:t>interprismer</w:t>
      </w:r>
      <w:proofErr w:type="spellEnd"/>
      <w:r w:rsidR="00DE61D8" w:rsidRPr="001548DA">
        <w:rPr>
          <w:sz w:val="24"/>
          <w:highlight w:val="yellow"/>
        </w:rPr>
        <w:t>,</w:t>
      </w:r>
      <w:r w:rsidR="00DE61D8">
        <w:rPr>
          <w:sz w:val="24"/>
        </w:rPr>
        <w:t xml:space="preserve"> også kendt som rods og </w:t>
      </w:r>
      <w:proofErr w:type="spellStart"/>
      <w:r w:rsidR="00DE61D8">
        <w:rPr>
          <w:sz w:val="24"/>
        </w:rPr>
        <w:t>interrods</w:t>
      </w:r>
      <w:proofErr w:type="spellEnd"/>
      <w:r w:rsidR="00DE61D8">
        <w:rPr>
          <w:sz w:val="24"/>
        </w:rPr>
        <w:t xml:space="preserve">. Prismer og </w:t>
      </w:r>
      <w:proofErr w:type="spellStart"/>
      <w:r w:rsidR="00DE61D8">
        <w:rPr>
          <w:sz w:val="24"/>
        </w:rPr>
        <w:t>interprismer</w:t>
      </w:r>
      <w:proofErr w:type="spellEnd"/>
      <w:r w:rsidR="00DE61D8">
        <w:rPr>
          <w:sz w:val="24"/>
        </w:rPr>
        <w:t xml:space="preserve"> har samme kemiske formel, og forskelle</w:t>
      </w:r>
      <w:r w:rsidR="00B352DB">
        <w:rPr>
          <w:sz w:val="24"/>
        </w:rPr>
        <w:t xml:space="preserve">n består således i orientering; </w:t>
      </w:r>
      <w:proofErr w:type="spellStart"/>
      <w:r w:rsidR="00B352DB">
        <w:rPr>
          <w:sz w:val="24"/>
        </w:rPr>
        <w:t>i</w:t>
      </w:r>
      <w:r w:rsidR="00DE61D8">
        <w:rPr>
          <w:sz w:val="24"/>
        </w:rPr>
        <w:t>nterprismer</w:t>
      </w:r>
      <w:proofErr w:type="spellEnd"/>
      <w:r w:rsidR="00DE61D8">
        <w:rPr>
          <w:sz w:val="24"/>
        </w:rPr>
        <w:t xml:space="preserve"> er arrangeret perpendikulært mellem </w:t>
      </w:r>
      <w:r w:rsidR="00CC67AF">
        <w:rPr>
          <w:sz w:val="24"/>
        </w:rPr>
        <w:t xml:space="preserve">longitudinelle </w:t>
      </w:r>
      <w:r w:rsidR="001C7381">
        <w:rPr>
          <w:sz w:val="24"/>
        </w:rPr>
        <w:t xml:space="preserve">prismer (der i forlængelse af hinanden spænder </w:t>
      </w:r>
      <w:r w:rsidR="00B352DB">
        <w:rPr>
          <w:sz w:val="24"/>
        </w:rPr>
        <w:t>mellem dentin og tandoverflade)</w:t>
      </w:r>
      <w:r w:rsidR="00DE61D8">
        <w:rPr>
          <w:sz w:val="24"/>
        </w:rPr>
        <w:t>. Forskellen i orientering har morfologiske rødder i den skrå flade (</w:t>
      </w:r>
      <w:proofErr w:type="spellStart"/>
      <w:r w:rsidR="00DE61D8">
        <w:rPr>
          <w:sz w:val="24"/>
        </w:rPr>
        <w:t>Tome’s</w:t>
      </w:r>
      <w:proofErr w:type="spellEnd"/>
      <w:r w:rsidR="00DE61D8">
        <w:rPr>
          <w:sz w:val="24"/>
        </w:rPr>
        <w:t xml:space="preserve"> </w:t>
      </w:r>
      <w:proofErr w:type="spellStart"/>
      <w:r w:rsidR="00DE61D8">
        <w:rPr>
          <w:sz w:val="24"/>
        </w:rPr>
        <w:t>Process</w:t>
      </w:r>
      <w:proofErr w:type="spellEnd"/>
      <w:r w:rsidR="00DE61D8">
        <w:rPr>
          <w:sz w:val="24"/>
        </w:rPr>
        <w:t xml:space="preserve">) hvorfra ameloblasten afgiver sit sekret. </w:t>
      </w:r>
      <w:r w:rsidR="00DE61D8">
        <w:rPr>
          <w:sz w:val="24"/>
        </w:rPr>
        <w:br/>
      </w:r>
      <w:r w:rsidR="00DE61D8">
        <w:rPr>
          <w:b/>
          <w:noProof/>
          <w:sz w:val="24"/>
          <w:lang w:eastAsia="da-DK"/>
        </w:rPr>
        <w:drawing>
          <wp:inline distT="0" distB="0" distL="0" distR="0" wp14:anchorId="080724D8" wp14:editId="151D21C0">
            <wp:extent cx="4258565" cy="3352800"/>
            <wp:effectExtent l="0" t="0" r="889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8565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6CF6F" w14:textId="77777777" w:rsidR="008262E6" w:rsidRPr="001C7381" w:rsidRDefault="005F62B2" w:rsidP="00DE61D8">
      <w:pPr>
        <w:rPr>
          <w:sz w:val="24"/>
        </w:rPr>
      </w:pPr>
      <w:r>
        <w:rPr>
          <w:sz w:val="24"/>
        </w:rPr>
        <w:t>I tidlig emalje</w:t>
      </w:r>
      <w:r w:rsidR="00DE61D8">
        <w:rPr>
          <w:sz w:val="24"/>
        </w:rPr>
        <w:t xml:space="preserve"> er prismer og </w:t>
      </w:r>
      <w:proofErr w:type="spellStart"/>
      <w:r w:rsidR="00DE61D8">
        <w:rPr>
          <w:sz w:val="24"/>
        </w:rPr>
        <w:t>interprismer</w:t>
      </w:r>
      <w:proofErr w:type="spellEnd"/>
      <w:r w:rsidR="00DE61D8">
        <w:rPr>
          <w:sz w:val="24"/>
        </w:rPr>
        <w:t xml:space="preserve"> </w:t>
      </w:r>
      <w:proofErr w:type="spellStart"/>
      <w:r w:rsidR="00DE61D8">
        <w:rPr>
          <w:sz w:val="24"/>
        </w:rPr>
        <w:t>hexagonale</w:t>
      </w:r>
      <w:proofErr w:type="spellEnd"/>
      <w:r w:rsidR="00DE61D8">
        <w:rPr>
          <w:sz w:val="24"/>
        </w:rPr>
        <w:t xml:space="preserve"> (prisme er derfor en misvisende betegnelse); med tiden, som følge af trykpåvirkning</w:t>
      </w:r>
      <w:r w:rsidR="0022252E">
        <w:rPr>
          <w:sz w:val="24"/>
        </w:rPr>
        <w:t xml:space="preserve"> under fortsat </w:t>
      </w:r>
      <w:r w:rsidR="00A1260E">
        <w:rPr>
          <w:sz w:val="24"/>
        </w:rPr>
        <w:t>prisme</w:t>
      </w:r>
      <w:r w:rsidR="0022252E">
        <w:rPr>
          <w:sz w:val="24"/>
        </w:rPr>
        <w:t>aflejring</w:t>
      </w:r>
      <w:r w:rsidR="00DE61D8">
        <w:rPr>
          <w:sz w:val="24"/>
        </w:rPr>
        <w:t xml:space="preserve">, tager de udseende af et </w:t>
      </w:r>
      <w:bookmarkStart w:id="0" w:name="_GoBack"/>
      <w:r w:rsidR="00DE61D8">
        <w:rPr>
          <w:sz w:val="24"/>
        </w:rPr>
        <w:t xml:space="preserve">nøglehul. </w:t>
      </w:r>
      <w:r w:rsidR="001C7381">
        <w:rPr>
          <w:sz w:val="24"/>
        </w:rPr>
        <w:br/>
      </w:r>
      <w:bookmarkEnd w:id="0"/>
      <w:r w:rsidR="001C7381">
        <w:rPr>
          <w:sz w:val="24"/>
        </w:rPr>
        <w:br/>
      </w:r>
      <w:r w:rsidR="001C7381">
        <w:rPr>
          <w:b/>
          <w:sz w:val="24"/>
        </w:rPr>
        <w:t xml:space="preserve">En </w:t>
      </w:r>
      <w:r w:rsidR="001C7381" w:rsidRPr="001C7381">
        <w:rPr>
          <w:b/>
          <w:sz w:val="24"/>
          <w:szCs w:val="24"/>
        </w:rPr>
        <w:t>emaljeprisme er ca. 4 µm bred</w:t>
      </w:r>
      <w:r w:rsidR="001C7381">
        <w:rPr>
          <w:b/>
        </w:rPr>
        <w:t xml:space="preserve"> </w:t>
      </w:r>
      <w:r w:rsidR="001C7381" w:rsidRPr="001C7381">
        <w:rPr>
          <w:b/>
          <w:sz w:val="24"/>
        </w:rPr>
        <w:t>og 8 µm lang</w:t>
      </w:r>
      <w:r w:rsidR="001C7381" w:rsidRPr="001C7381">
        <w:rPr>
          <w:sz w:val="24"/>
        </w:rPr>
        <w:t xml:space="preserve">. </w:t>
      </w:r>
      <w:r w:rsidR="001C7381">
        <w:br/>
        <w:t xml:space="preserve">Emaljen kan nå tykkelser på op til 2,5 mm ved tændernes højeste cuspis. </w:t>
      </w:r>
    </w:p>
    <w:p w14:paraId="51C089D9" w14:textId="77777777" w:rsidR="00DE61D8" w:rsidRDefault="00DE61D8" w:rsidP="00DE61D8">
      <w:pPr>
        <w:rPr>
          <w:sz w:val="24"/>
        </w:rPr>
      </w:pPr>
      <w:r>
        <w:rPr>
          <w:b/>
          <w:noProof/>
          <w:sz w:val="24"/>
          <w:lang w:eastAsia="da-DK"/>
        </w:rPr>
        <w:lastRenderedPageBreak/>
        <w:drawing>
          <wp:inline distT="0" distB="0" distL="0" distR="0" wp14:anchorId="19A48DD5" wp14:editId="58E1D801">
            <wp:extent cx="5305425" cy="1906088"/>
            <wp:effectExtent l="0" t="0" r="0" b="0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2565" cy="1919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753055" w14:textId="77777777" w:rsidR="0086574A" w:rsidRDefault="0086574A" w:rsidP="00DE61D8">
      <w:pPr>
        <w:rPr>
          <w:sz w:val="24"/>
        </w:rPr>
      </w:pPr>
      <w:r>
        <w:rPr>
          <w:sz w:val="24"/>
        </w:rPr>
        <w:t>Emalje</w:t>
      </w:r>
      <w:r w:rsidR="00726F88">
        <w:rPr>
          <w:sz w:val="24"/>
        </w:rPr>
        <w:t xml:space="preserve"> består overvejende af min</w:t>
      </w:r>
      <w:r w:rsidR="00AA4C2F">
        <w:rPr>
          <w:sz w:val="24"/>
        </w:rPr>
        <w:t xml:space="preserve">eral i form HAP; dog også andre krystaller såsom </w:t>
      </w:r>
      <w:proofErr w:type="spellStart"/>
      <w:r w:rsidR="00AA4C2F">
        <w:rPr>
          <w:sz w:val="24"/>
        </w:rPr>
        <w:t>flouridhydroxylapatit</w:t>
      </w:r>
      <w:proofErr w:type="spellEnd"/>
      <w:r w:rsidR="00AA4C2F">
        <w:rPr>
          <w:sz w:val="24"/>
        </w:rPr>
        <w:t xml:space="preserve"> (fremover FHAP) hvor visse OH-grupper er substitueret med </w:t>
      </w:r>
      <w:proofErr w:type="spellStart"/>
      <w:r w:rsidR="00AA4C2F">
        <w:rPr>
          <w:sz w:val="24"/>
        </w:rPr>
        <w:t>flour</w:t>
      </w:r>
      <w:proofErr w:type="spellEnd"/>
      <w:r w:rsidR="00AA4C2F">
        <w:rPr>
          <w:sz w:val="24"/>
        </w:rPr>
        <w:t>. Dette skyldes dels tilstedeværelsen af andre ioner under</w:t>
      </w:r>
      <w:r>
        <w:rPr>
          <w:sz w:val="24"/>
        </w:rPr>
        <w:t xml:space="preserve"> emaljesyntesen, dels at HAP</w:t>
      </w:r>
      <w:r w:rsidR="00AA4C2F">
        <w:rPr>
          <w:sz w:val="24"/>
        </w:rPr>
        <w:t xml:space="preserve"> kan opta</w:t>
      </w:r>
      <w:r>
        <w:rPr>
          <w:sz w:val="24"/>
        </w:rPr>
        <w:t>ge</w:t>
      </w:r>
      <w:r w:rsidR="00AA4C2F">
        <w:rPr>
          <w:sz w:val="24"/>
        </w:rPr>
        <w:t xml:space="preserve"> ioner fra miljøet (</w:t>
      </w:r>
      <w:r w:rsidR="00615885">
        <w:rPr>
          <w:sz w:val="24"/>
        </w:rPr>
        <w:t>fluortandpastaræsonnement</w:t>
      </w:r>
      <w:r>
        <w:rPr>
          <w:sz w:val="24"/>
        </w:rPr>
        <w:t>) og danne nye forbindelser</w:t>
      </w:r>
      <w:r w:rsidR="00CC67AF">
        <w:rPr>
          <w:sz w:val="24"/>
        </w:rPr>
        <w:t xml:space="preserve"> (substituering)</w:t>
      </w:r>
      <w:r w:rsidR="00615885">
        <w:rPr>
          <w:sz w:val="24"/>
        </w:rPr>
        <w:t xml:space="preserve">. </w:t>
      </w:r>
      <w:r>
        <w:rPr>
          <w:sz w:val="24"/>
        </w:rPr>
        <w:br/>
      </w:r>
      <w:r>
        <w:rPr>
          <w:sz w:val="24"/>
        </w:rPr>
        <w:br/>
        <w:t xml:space="preserve">Procentvis udgøres emaljen af: 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86574A" w14:paraId="1F49AB3D" w14:textId="77777777" w:rsidTr="0086574A">
        <w:tc>
          <w:tcPr>
            <w:tcW w:w="2689" w:type="dxa"/>
          </w:tcPr>
          <w:p w14:paraId="44CC27B0" w14:textId="77777777" w:rsidR="0086574A" w:rsidRPr="0086574A" w:rsidRDefault="0086574A" w:rsidP="00DE61D8">
            <w:pPr>
              <w:rPr>
                <w:b/>
                <w:color w:val="0070C0"/>
                <w:sz w:val="24"/>
              </w:rPr>
            </w:pPr>
            <w:r w:rsidRPr="0086574A">
              <w:rPr>
                <w:b/>
                <w:color w:val="0070C0"/>
                <w:sz w:val="24"/>
              </w:rPr>
              <w:t>96 % mineral</w:t>
            </w:r>
          </w:p>
        </w:tc>
        <w:tc>
          <w:tcPr>
            <w:tcW w:w="6939" w:type="dxa"/>
          </w:tcPr>
          <w:p w14:paraId="671B599C" w14:textId="77777777" w:rsidR="0086574A" w:rsidRDefault="0086574A" w:rsidP="00DE61D8">
            <w:pPr>
              <w:rPr>
                <w:sz w:val="24"/>
              </w:rPr>
            </w:pPr>
            <w:r>
              <w:rPr>
                <w:sz w:val="24"/>
              </w:rPr>
              <w:t>Primært HAP</w:t>
            </w:r>
          </w:p>
        </w:tc>
      </w:tr>
      <w:tr w:rsidR="0086574A" w14:paraId="1C004C2F" w14:textId="77777777" w:rsidTr="0086574A">
        <w:tc>
          <w:tcPr>
            <w:tcW w:w="2689" w:type="dxa"/>
          </w:tcPr>
          <w:p w14:paraId="683AF669" w14:textId="77777777" w:rsidR="0086574A" w:rsidRPr="0086574A" w:rsidRDefault="0086574A" w:rsidP="00DE61D8">
            <w:pPr>
              <w:rPr>
                <w:b/>
                <w:color w:val="0070C0"/>
                <w:sz w:val="24"/>
              </w:rPr>
            </w:pPr>
            <w:r w:rsidRPr="0086574A">
              <w:rPr>
                <w:b/>
                <w:color w:val="0070C0"/>
                <w:sz w:val="24"/>
              </w:rPr>
              <w:t xml:space="preserve">  1 % organisk materiale</w:t>
            </w:r>
          </w:p>
        </w:tc>
        <w:tc>
          <w:tcPr>
            <w:tcW w:w="6939" w:type="dxa"/>
          </w:tcPr>
          <w:p w14:paraId="390BFD47" w14:textId="77777777" w:rsidR="0086574A" w:rsidRDefault="0086574A" w:rsidP="00DE61D8">
            <w:pPr>
              <w:rPr>
                <w:sz w:val="24"/>
              </w:rPr>
            </w:pPr>
            <w:r>
              <w:rPr>
                <w:sz w:val="24"/>
              </w:rPr>
              <w:t>Emaljeproteiner (</w:t>
            </w:r>
            <w:proofErr w:type="spellStart"/>
            <w:r>
              <w:rPr>
                <w:sz w:val="24"/>
              </w:rPr>
              <w:t>amelogeniner</w:t>
            </w:r>
            <w:proofErr w:type="spellEnd"/>
            <w:r>
              <w:rPr>
                <w:sz w:val="24"/>
              </w:rPr>
              <w:t xml:space="preserve"> og non-</w:t>
            </w:r>
            <w:proofErr w:type="spellStart"/>
            <w:r>
              <w:rPr>
                <w:sz w:val="24"/>
              </w:rPr>
              <w:t>amelogeniner</w:t>
            </w:r>
            <w:proofErr w:type="spellEnd"/>
            <w:r>
              <w:rPr>
                <w:sz w:val="24"/>
              </w:rPr>
              <w:t>), enzymer</w:t>
            </w:r>
          </w:p>
        </w:tc>
      </w:tr>
      <w:tr w:rsidR="0086574A" w14:paraId="55A93530" w14:textId="77777777" w:rsidTr="0086574A">
        <w:tc>
          <w:tcPr>
            <w:tcW w:w="2689" w:type="dxa"/>
          </w:tcPr>
          <w:p w14:paraId="5277742D" w14:textId="77777777" w:rsidR="0086574A" w:rsidRPr="0086574A" w:rsidRDefault="0086574A" w:rsidP="00DE61D8">
            <w:pPr>
              <w:rPr>
                <w:color w:val="0070C0"/>
                <w:sz w:val="24"/>
              </w:rPr>
            </w:pPr>
            <w:r w:rsidRPr="0086574A">
              <w:rPr>
                <w:sz w:val="24"/>
              </w:rPr>
              <w:t xml:space="preserve">  3 % vand</w:t>
            </w:r>
          </w:p>
        </w:tc>
        <w:tc>
          <w:tcPr>
            <w:tcW w:w="6939" w:type="dxa"/>
          </w:tcPr>
          <w:p w14:paraId="4BB0B8AA" w14:textId="77777777" w:rsidR="0086574A" w:rsidRPr="0086574A" w:rsidRDefault="0086574A" w:rsidP="00DE61D8">
            <w:pPr>
              <w:rPr>
                <w:sz w:val="24"/>
              </w:rPr>
            </w:pPr>
            <w:r>
              <w:rPr>
                <w:sz w:val="24"/>
              </w:rPr>
              <w:t>H</w:t>
            </w:r>
            <w:r>
              <w:rPr>
                <w:sz w:val="24"/>
                <w:vertAlign w:val="subscript"/>
              </w:rPr>
              <w:t>2</w:t>
            </w:r>
            <w:r>
              <w:rPr>
                <w:sz w:val="24"/>
              </w:rPr>
              <w:t>O</w:t>
            </w:r>
          </w:p>
        </w:tc>
      </w:tr>
    </w:tbl>
    <w:p w14:paraId="576A4DB3" w14:textId="77777777" w:rsidR="0086574A" w:rsidRPr="001C7381" w:rsidRDefault="0086574A" w:rsidP="00DE61D8">
      <w:pPr>
        <w:rPr>
          <w:b/>
          <w:sz w:val="24"/>
        </w:rPr>
      </w:pPr>
      <w:r>
        <w:rPr>
          <w:sz w:val="24"/>
        </w:rPr>
        <w:br/>
        <w:t xml:space="preserve">Emaljeproteinkoncentrationen er i den tidlige emalje høj, i den modne emalje lav. </w:t>
      </w:r>
      <w:r>
        <w:rPr>
          <w:sz w:val="24"/>
        </w:rPr>
        <w:br/>
        <w:t xml:space="preserve">Dette skyldes, at de under </w:t>
      </w:r>
      <w:r w:rsidR="00CC67AF">
        <w:rPr>
          <w:sz w:val="24"/>
        </w:rPr>
        <w:t xml:space="preserve">modningen modulerer krystallernes form ved at arrangere sig heromkring; ved samme lejlighed forhindres krystalsammenvækst. </w:t>
      </w:r>
      <w:r w:rsidR="00CC67AF">
        <w:rPr>
          <w:sz w:val="24"/>
        </w:rPr>
        <w:br/>
      </w:r>
      <w:r w:rsidR="00CC67AF">
        <w:rPr>
          <w:sz w:val="24"/>
        </w:rPr>
        <w:br/>
      </w:r>
      <w:r w:rsidR="00CC67AF" w:rsidRPr="00CC67AF">
        <w:rPr>
          <w:b/>
          <w:sz w:val="24"/>
        </w:rPr>
        <w:t xml:space="preserve">En HAP </w:t>
      </w:r>
      <w:r w:rsidR="001C7381">
        <w:rPr>
          <w:b/>
          <w:sz w:val="24"/>
        </w:rPr>
        <w:t xml:space="preserve">er ca. 40 nm bred og 800 </w:t>
      </w:r>
      <w:r w:rsidR="00CC67AF">
        <w:rPr>
          <w:b/>
          <w:sz w:val="24"/>
        </w:rPr>
        <w:t>nm lang</w:t>
      </w:r>
      <w:r w:rsidR="006C5069">
        <w:rPr>
          <w:b/>
          <w:sz w:val="24"/>
        </w:rPr>
        <w:t xml:space="preserve"> – ligesom prismen er den </w:t>
      </w:r>
      <w:proofErr w:type="spellStart"/>
      <w:r w:rsidR="006C5069">
        <w:rPr>
          <w:b/>
          <w:sz w:val="24"/>
        </w:rPr>
        <w:t>hexagonal</w:t>
      </w:r>
      <w:proofErr w:type="spellEnd"/>
      <w:r w:rsidR="0022252E">
        <w:rPr>
          <w:b/>
          <w:sz w:val="24"/>
        </w:rPr>
        <w:br/>
      </w:r>
      <w:r w:rsidR="0022252E">
        <w:rPr>
          <w:sz w:val="24"/>
        </w:rPr>
        <w:t>Prismens HAP er</w:t>
      </w:r>
      <w:r w:rsidR="00DA5390">
        <w:rPr>
          <w:sz w:val="24"/>
        </w:rPr>
        <w:t>,</w:t>
      </w:r>
      <w:r w:rsidR="0022252E">
        <w:rPr>
          <w:sz w:val="24"/>
        </w:rPr>
        <w:t xml:space="preserve"> som prismen</w:t>
      </w:r>
      <w:r w:rsidR="00DA5390">
        <w:rPr>
          <w:sz w:val="24"/>
        </w:rPr>
        <w:t>,</w:t>
      </w:r>
      <w:r w:rsidR="0022252E">
        <w:rPr>
          <w:sz w:val="24"/>
        </w:rPr>
        <w:t xml:space="preserve"> overvejende arrangeret longitudinelt i retning fra dentin mod emaljeoverflade. Yderst i prismen er HAP dog arrangeret mere tilfældigt og </w:t>
      </w:r>
      <w:proofErr w:type="spellStart"/>
      <w:r w:rsidR="0022252E">
        <w:rPr>
          <w:sz w:val="24"/>
        </w:rPr>
        <w:t>interkrystalrummet</w:t>
      </w:r>
      <w:proofErr w:type="spellEnd"/>
      <w:r w:rsidR="0022252E">
        <w:rPr>
          <w:sz w:val="24"/>
        </w:rPr>
        <w:t xml:space="preserve"> og dermed porevolumen er her udvidet: således aflejres proteiner, vand og oxygen i den perifere emalje og dette forklarer hvorfor caries ud</w:t>
      </w:r>
      <w:r w:rsidR="001C7381">
        <w:rPr>
          <w:sz w:val="24"/>
        </w:rPr>
        <w:t xml:space="preserve">vikler sig hurtigere perifert. </w:t>
      </w:r>
      <w:r w:rsidR="00EA5B86">
        <w:rPr>
          <w:sz w:val="24"/>
        </w:rPr>
        <w:br/>
      </w:r>
      <w:r w:rsidR="001C7381">
        <w:rPr>
          <w:noProof/>
          <w:sz w:val="24"/>
          <w:lang w:eastAsia="da-DK"/>
        </w:rPr>
        <w:br/>
      </w:r>
      <w:r w:rsidR="00EA5B86">
        <w:rPr>
          <w:noProof/>
          <w:sz w:val="24"/>
          <w:lang w:eastAsia="da-DK"/>
        </w:rPr>
        <w:drawing>
          <wp:inline distT="0" distB="0" distL="0" distR="0" wp14:anchorId="6B287DF8" wp14:editId="0B758A9C">
            <wp:extent cx="3171825" cy="1847850"/>
            <wp:effectExtent l="0" t="0" r="9525" b="0"/>
            <wp:docPr id="3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7381">
        <w:rPr>
          <w:sz w:val="24"/>
        </w:rPr>
        <w:br/>
      </w:r>
      <w:r w:rsidR="001C7381" w:rsidRPr="001C7381">
        <w:rPr>
          <w:noProof/>
          <w:sz w:val="20"/>
          <w:lang w:eastAsia="da-DK"/>
        </w:rPr>
        <w:t>T.v.: emaljeprisme; t.h.: hydroxylapatitkrystal</w:t>
      </w:r>
      <w:r w:rsidR="00CC67AF">
        <w:rPr>
          <w:sz w:val="24"/>
        </w:rPr>
        <w:br/>
      </w:r>
    </w:p>
    <w:sectPr w:rsidR="0086574A" w:rsidRPr="001C7381">
      <w:footerReference w:type="default" r:id="rId10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4720E" w14:textId="77777777" w:rsidR="00583B0F" w:rsidRDefault="00583B0F" w:rsidP="00AB0CDE">
      <w:pPr>
        <w:spacing w:after="0" w:line="240" w:lineRule="auto"/>
      </w:pPr>
      <w:r>
        <w:separator/>
      </w:r>
    </w:p>
  </w:endnote>
  <w:endnote w:type="continuationSeparator" w:id="0">
    <w:p w14:paraId="26E34D9D" w14:textId="77777777" w:rsidR="00583B0F" w:rsidRDefault="00583B0F" w:rsidP="00AB0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D8D33" w14:textId="0B23D67E" w:rsidR="00A84700" w:rsidRDefault="00A84700">
    <w:pPr>
      <w:pStyle w:val="Sidefod"/>
    </w:pPr>
    <w:r>
      <w:t>Jeppe Følner</w:t>
    </w:r>
  </w:p>
  <w:p w14:paraId="2031ABC3" w14:textId="77777777" w:rsidR="00AB0CDE" w:rsidRDefault="00AB0CDE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5AE21" w14:textId="77777777" w:rsidR="00583B0F" w:rsidRDefault="00583B0F" w:rsidP="00AB0CDE">
      <w:pPr>
        <w:spacing w:after="0" w:line="240" w:lineRule="auto"/>
      </w:pPr>
      <w:r>
        <w:separator/>
      </w:r>
    </w:p>
  </w:footnote>
  <w:footnote w:type="continuationSeparator" w:id="0">
    <w:p w14:paraId="0A880DC3" w14:textId="77777777" w:rsidR="00583B0F" w:rsidRDefault="00583B0F" w:rsidP="00AB0C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71483"/>
    <w:multiLevelType w:val="hybridMultilevel"/>
    <w:tmpl w:val="1882A8A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1D8"/>
    <w:rsid w:val="001548DA"/>
    <w:rsid w:val="001C7381"/>
    <w:rsid w:val="0022252E"/>
    <w:rsid w:val="0051185F"/>
    <w:rsid w:val="00561F15"/>
    <w:rsid w:val="00583B0F"/>
    <w:rsid w:val="00595289"/>
    <w:rsid w:val="005D1A77"/>
    <w:rsid w:val="005F62B2"/>
    <w:rsid w:val="00615885"/>
    <w:rsid w:val="006433DB"/>
    <w:rsid w:val="006C5069"/>
    <w:rsid w:val="00726F88"/>
    <w:rsid w:val="008262E6"/>
    <w:rsid w:val="0086574A"/>
    <w:rsid w:val="00876720"/>
    <w:rsid w:val="008F5D41"/>
    <w:rsid w:val="00935BF0"/>
    <w:rsid w:val="00A1260E"/>
    <w:rsid w:val="00A84700"/>
    <w:rsid w:val="00AA4C2F"/>
    <w:rsid w:val="00AB0CDE"/>
    <w:rsid w:val="00B352DB"/>
    <w:rsid w:val="00CC67AF"/>
    <w:rsid w:val="00DA5390"/>
    <w:rsid w:val="00DE61D8"/>
    <w:rsid w:val="00E46807"/>
    <w:rsid w:val="00EA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4F03"/>
  <w15:chartTrackingRefBased/>
  <w15:docId w15:val="{06A073F4-7411-486A-BEF1-565C3CCE5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DE61D8"/>
    <w:pPr>
      <w:ind w:left="720"/>
      <w:contextualSpacing/>
    </w:pPr>
  </w:style>
  <w:style w:type="table" w:styleId="Tabel-Gitter">
    <w:name w:val="Table Grid"/>
    <w:basedOn w:val="Tabel-Normal"/>
    <w:uiPriority w:val="39"/>
    <w:rsid w:val="00865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AB0C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B0CDE"/>
  </w:style>
  <w:style w:type="paragraph" w:styleId="Sidefod">
    <w:name w:val="footer"/>
    <w:basedOn w:val="Normal"/>
    <w:link w:val="SidefodTegn"/>
    <w:uiPriority w:val="99"/>
    <w:unhideWhenUsed/>
    <w:rsid w:val="00AB0C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B0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368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12</cp:revision>
  <dcterms:created xsi:type="dcterms:W3CDTF">2017-05-05T20:47:00Z</dcterms:created>
  <dcterms:modified xsi:type="dcterms:W3CDTF">2018-02-01T18:36:00Z</dcterms:modified>
</cp:coreProperties>
</file>