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2C1" w:rsidRDefault="008772C1" w:rsidP="00DA63B4">
      <w:pPr>
        <w:jc w:val="center"/>
        <w:rPr>
          <w:b/>
          <w:sz w:val="32"/>
        </w:rPr>
      </w:pPr>
    </w:p>
    <w:p w:rsidR="002C0C73" w:rsidRDefault="00DA63B4" w:rsidP="00DA63B4">
      <w:r w:rsidRPr="00DA63B4">
        <w:rPr>
          <w:b/>
          <w:color w:val="0070C0"/>
          <w:sz w:val="32"/>
        </w:rPr>
        <w:t>Vinkelhalveringsteknik</w:t>
      </w:r>
      <w:r>
        <w:rPr>
          <w:b/>
          <w:sz w:val="24"/>
        </w:rPr>
        <w:br/>
        <w:t>Hvad</w:t>
      </w:r>
      <w:r>
        <w:rPr>
          <w:b/>
          <w:sz w:val="24"/>
        </w:rPr>
        <w:br/>
      </w:r>
      <w:proofErr w:type="spellStart"/>
      <w:r>
        <w:t>Enoral</w:t>
      </w:r>
      <w:proofErr w:type="spellEnd"/>
      <w:r>
        <w:t xml:space="preserve"> optagelsesteknik hvor film ligger i berøring med tandk</w:t>
      </w:r>
      <w:r w:rsidR="002C0C73">
        <w:t xml:space="preserve">rone. </w:t>
      </w:r>
      <w:r w:rsidR="002C0C73">
        <w:br/>
        <w:t>Strålefeltets centralstråler anlægges vinkelret på den linje</w:t>
      </w:r>
      <w:r w:rsidR="00D31A54">
        <w:t>,</w:t>
      </w:r>
      <w:r w:rsidR="002C0C73">
        <w:t xml:space="preserve"> der halverer vinkel mellem længdeakse på tand og film</w:t>
      </w:r>
      <w:r w:rsidR="007E68E8">
        <w:t xml:space="preserve"> – strålefeltets centralstråler skal ramme apex. </w:t>
      </w:r>
    </w:p>
    <w:p w:rsidR="002C0C73" w:rsidRPr="002C0C73" w:rsidRDefault="002C0C73" w:rsidP="00DA63B4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2A4290F2" wp14:editId="56BF6117">
            <wp:extent cx="4038600" cy="25146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8A0" w:rsidRDefault="002C0C73" w:rsidP="00DA63B4">
      <w:r>
        <w:rPr>
          <w:b/>
          <w:sz w:val="24"/>
        </w:rPr>
        <w:t>Indikation</w:t>
      </w:r>
      <w:r w:rsidR="00A128A0">
        <w:rPr>
          <w:b/>
          <w:sz w:val="24"/>
        </w:rPr>
        <w:t>er</w:t>
      </w:r>
    </w:p>
    <w:p w:rsidR="002C0C73" w:rsidRDefault="002C0C73" w:rsidP="00A128A0">
      <w:pPr>
        <w:pStyle w:val="Listeafsnit"/>
        <w:numPr>
          <w:ilvl w:val="0"/>
          <w:numId w:val="6"/>
        </w:numPr>
      </w:pPr>
      <w:r>
        <w:t xml:space="preserve">Forhold hvor man ønsker at blotlægge mest muligt af tandens </w:t>
      </w:r>
      <w:proofErr w:type="spellStart"/>
      <w:r>
        <w:t>periapikale</w:t>
      </w:r>
      <w:proofErr w:type="spellEnd"/>
      <w:r>
        <w:t xml:space="preserve"> knogle </w:t>
      </w:r>
      <w:r w:rsidR="00A128A0">
        <w:t>(eksempelvis endodontisk behandling)</w:t>
      </w:r>
    </w:p>
    <w:p w:rsidR="00A128A0" w:rsidRDefault="00A128A0" w:rsidP="00A128A0">
      <w:pPr>
        <w:pStyle w:val="Listeafsnit"/>
        <w:numPr>
          <w:ilvl w:val="0"/>
          <w:numId w:val="6"/>
        </w:numPr>
      </w:pPr>
      <w:r>
        <w:t xml:space="preserve">Forhold hvor </w:t>
      </w:r>
      <w:proofErr w:type="spellStart"/>
      <w:r>
        <w:t>filmholder</w:t>
      </w:r>
      <w:proofErr w:type="spellEnd"/>
      <w:r>
        <w:t xml:space="preserve"> volder problemer ved placering i orale kavitet (svælgreflekser, tandløshed)</w:t>
      </w:r>
    </w:p>
    <w:p w:rsidR="002C0C73" w:rsidRDefault="002C0C73" w:rsidP="002C0C73">
      <w:r>
        <w:rPr>
          <w:b/>
          <w:sz w:val="24"/>
        </w:rPr>
        <w:t>Te</w:t>
      </w:r>
      <w:r w:rsidR="005C42E7">
        <w:rPr>
          <w:b/>
          <w:sz w:val="24"/>
        </w:rPr>
        <w:t>ori</w:t>
      </w:r>
      <w:r>
        <w:rPr>
          <w:b/>
          <w:sz w:val="24"/>
        </w:rPr>
        <w:br/>
      </w:r>
      <w:r>
        <w:t xml:space="preserve">Den korrekt udførte vinkelhalveringsteknik bestemmes af følgende parametre: </w:t>
      </w:r>
    </w:p>
    <w:p w:rsidR="008770D8" w:rsidRPr="002C0C73" w:rsidRDefault="002C0C73" w:rsidP="002C0C73">
      <w:pPr>
        <w:pStyle w:val="Listeafsnit"/>
        <w:numPr>
          <w:ilvl w:val="0"/>
          <w:numId w:val="2"/>
        </w:numPr>
        <w:rPr>
          <w:u w:val="single"/>
        </w:rPr>
      </w:pPr>
      <w:r w:rsidRPr="002C0C73">
        <w:rPr>
          <w:u w:val="single"/>
        </w:rPr>
        <w:t>Optagelsen er isometrisk</w:t>
      </w:r>
      <w:r>
        <w:rPr>
          <w:u w:val="single"/>
        </w:rPr>
        <w:br/>
      </w:r>
    </w:p>
    <w:tbl>
      <w:tblPr>
        <w:tblStyle w:val="Tabel-Gitter"/>
        <w:tblW w:w="9218" w:type="dxa"/>
        <w:tblInd w:w="720" w:type="dxa"/>
        <w:tblLook w:val="04A0" w:firstRow="1" w:lastRow="0" w:firstColumn="1" w:lastColumn="0" w:noHBand="0" w:noVBand="1"/>
      </w:tblPr>
      <w:tblGrid>
        <w:gridCol w:w="953"/>
        <w:gridCol w:w="8265"/>
      </w:tblGrid>
      <w:tr w:rsidR="008770D8" w:rsidTr="008770D8">
        <w:trPr>
          <w:trHeight w:val="250"/>
        </w:trPr>
        <w:tc>
          <w:tcPr>
            <w:tcW w:w="953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Betyder</w:t>
            </w:r>
          </w:p>
        </w:tc>
        <w:tc>
          <w:tcPr>
            <w:tcW w:w="8265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At tanden gengives på billedet med samme mål som i virkeligheden</w:t>
            </w:r>
          </w:p>
        </w:tc>
      </w:tr>
      <w:tr w:rsidR="008770D8" w:rsidTr="008770D8">
        <w:trPr>
          <w:trHeight w:val="250"/>
        </w:trPr>
        <w:tc>
          <w:tcPr>
            <w:tcW w:w="953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Opnås</w:t>
            </w:r>
          </w:p>
        </w:tc>
        <w:tc>
          <w:tcPr>
            <w:tcW w:w="8265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 xml:space="preserve">Ved at centralstrålen rammer vinkelret på vinkelhalveringslinjen ved </w:t>
            </w:r>
            <w:r w:rsidRPr="008770D8">
              <w:rPr>
                <w:i/>
              </w:rPr>
              <w:t>apex</w:t>
            </w:r>
            <w:r>
              <w:rPr>
                <w:i/>
              </w:rPr>
              <w:t xml:space="preserve"> </w:t>
            </w:r>
            <w:r>
              <w:t>mellem filmen og tandens længdeakser</w:t>
            </w:r>
          </w:p>
        </w:tc>
      </w:tr>
    </w:tbl>
    <w:p w:rsidR="002C0C73" w:rsidRPr="002C0C73" w:rsidRDefault="002C0C73" w:rsidP="008770D8">
      <w:pPr>
        <w:pStyle w:val="Listeafsnit"/>
        <w:rPr>
          <w:u w:val="single"/>
        </w:rPr>
      </w:pPr>
    </w:p>
    <w:p w:rsidR="008770D8" w:rsidRPr="002C0C73" w:rsidRDefault="002C0C73" w:rsidP="002C0C73">
      <w:pPr>
        <w:pStyle w:val="Listeafsnit"/>
        <w:numPr>
          <w:ilvl w:val="0"/>
          <w:numId w:val="2"/>
        </w:numPr>
        <w:rPr>
          <w:u w:val="single"/>
        </w:rPr>
      </w:pPr>
      <w:r w:rsidRPr="002C0C73">
        <w:rPr>
          <w:u w:val="single"/>
        </w:rPr>
        <w:t>Optagelsen er apikal</w:t>
      </w:r>
      <w:r>
        <w:rPr>
          <w:u w:val="single"/>
        </w:rPr>
        <w:br/>
      </w:r>
    </w:p>
    <w:tbl>
      <w:tblPr>
        <w:tblStyle w:val="Tabel-Gitter"/>
        <w:tblW w:w="9187" w:type="dxa"/>
        <w:tblInd w:w="720" w:type="dxa"/>
        <w:tblLook w:val="04A0" w:firstRow="1" w:lastRow="0" w:firstColumn="1" w:lastColumn="0" w:noHBand="0" w:noVBand="1"/>
      </w:tblPr>
      <w:tblGrid>
        <w:gridCol w:w="949"/>
        <w:gridCol w:w="8238"/>
      </w:tblGrid>
      <w:tr w:rsidR="008770D8" w:rsidRPr="008770D8" w:rsidTr="008770D8">
        <w:trPr>
          <w:trHeight w:val="277"/>
        </w:trPr>
        <w:tc>
          <w:tcPr>
            <w:tcW w:w="94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Betyder</w:t>
            </w:r>
          </w:p>
        </w:tc>
        <w:tc>
          <w:tcPr>
            <w:tcW w:w="8238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 xml:space="preserve">At tandens </w:t>
            </w:r>
            <w:proofErr w:type="spellStart"/>
            <w:r>
              <w:t>periapikale</w:t>
            </w:r>
            <w:proofErr w:type="spellEnd"/>
            <w:r>
              <w:t xml:space="preserve"> knogle blotlægges</w:t>
            </w:r>
          </w:p>
        </w:tc>
      </w:tr>
      <w:tr w:rsidR="008770D8" w:rsidRPr="008770D8" w:rsidTr="008770D8">
        <w:trPr>
          <w:trHeight w:val="277"/>
        </w:trPr>
        <w:tc>
          <w:tcPr>
            <w:tcW w:w="94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Opnås</w:t>
            </w:r>
          </w:p>
        </w:tc>
        <w:tc>
          <w:tcPr>
            <w:tcW w:w="8238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Ved at centralstrålen går igennem tandens apex</w:t>
            </w:r>
          </w:p>
        </w:tc>
      </w:tr>
    </w:tbl>
    <w:p w:rsidR="002C0C73" w:rsidRPr="002C0C73" w:rsidRDefault="002C0C73" w:rsidP="008770D8">
      <w:pPr>
        <w:pStyle w:val="Listeafsnit"/>
        <w:rPr>
          <w:u w:val="single"/>
        </w:rPr>
      </w:pPr>
    </w:p>
    <w:p w:rsidR="008770D8" w:rsidRPr="002C0C73" w:rsidRDefault="002C0C73" w:rsidP="002C0C73">
      <w:pPr>
        <w:pStyle w:val="Listeafsnit"/>
        <w:numPr>
          <w:ilvl w:val="0"/>
          <w:numId w:val="2"/>
        </w:numPr>
        <w:rPr>
          <w:u w:val="single"/>
        </w:rPr>
      </w:pPr>
      <w:r w:rsidRPr="002C0C73">
        <w:rPr>
          <w:u w:val="single"/>
        </w:rPr>
        <w:t xml:space="preserve">Optagelsen er </w:t>
      </w:r>
      <w:proofErr w:type="spellStart"/>
      <w:r w:rsidRPr="002C0C73">
        <w:rPr>
          <w:u w:val="single"/>
        </w:rPr>
        <w:t>ortoradial</w:t>
      </w:r>
      <w:proofErr w:type="spellEnd"/>
      <w:r w:rsidRPr="002C0C73">
        <w:rPr>
          <w:u w:val="single"/>
        </w:rPr>
        <w:t xml:space="preserve"> </w:t>
      </w:r>
      <w:r w:rsidRPr="002C0C73">
        <w:rPr>
          <w:b/>
          <w:sz w:val="24"/>
          <w:u w:val="single"/>
        </w:rPr>
        <w:br/>
      </w:r>
    </w:p>
    <w:tbl>
      <w:tblPr>
        <w:tblStyle w:val="Tabel-Gitter"/>
        <w:tblW w:w="9177" w:type="dxa"/>
        <w:tblInd w:w="720" w:type="dxa"/>
        <w:tblLook w:val="04A0" w:firstRow="1" w:lastRow="0" w:firstColumn="1" w:lastColumn="0" w:noHBand="0" w:noVBand="1"/>
      </w:tblPr>
      <w:tblGrid>
        <w:gridCol w:w="948"/>
        <w:gridCol w:w="8229"/>
      </w:tblGrid>
      <w:tr w:rsidR="008770D8" w:rsidRPr="008770D8" w:rsidTr="008770D8">
        <w:trPr>
          <w:trHeight w:val="250"/>
        </w:trPr>
        <w:tc>
          <w:tcPr>
            <w:tcW w:w="948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Betyder</w:t>
            </w:r>
          </w:p>
        </w:tc>
        <w:tc>
          <w:tcPr>
            <w:tcW w:w="822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At tandens approksimalrum blotlægges (intet overlap mellem tand og nabotand)</w:t>
            </w:r>
          </w:p>
        </w:tc>
      </w:tr>
      <w:tr w:rsidR="008770D8" w:rsidRPr="008770D8" w:rsidTr="008770D8">
        <w:trPr>
          <w:trHeight w:val="250"/>
        </w:trPr>
        <w:tc>
          <w:tcPr>
            <w:tcW w:w="948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Opnås</w:t>
            </w:r>
          </w:p>
        </w:tc>
        <w:tc>
          <w:tcPr>
            <w:tcW w:w="822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Ved at centralstrålen rammer vinkelret på tangenten til tandbuen</w:t>
            </w:r>
          </w:p>
        </w:tc>
      </w:tr>
    </w:tbl>
    <w:p w:rsidR="002C0C73" w:rsidRDefault="009866C5" w:rsidP="00A128A0">
      <w:r>
        <w:rPr>
          <w:b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3102610</wp:posOffset>
            </wp:positionH>
            <wp:positionV relativeFrom="paragraph">
              <wp:posOffset>184150</wp:posOffset>
            </wp:positionV>
            <wp:extent cx="3498850" cy="2559050"/>
            <wp:effectExtent l="0" t="0" r="6350" b="0"/>
            <wp:wrapSquare wrapText="bothSides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2E7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127000</wp:posOffset>
            </wp:positionH>
            <wp:positionV relativeFrom="paragraph">
              <wp:posOffset>182880</wp:posOffset>
            </wp:positionV>
            <wp:extent cx="3670935" cy="2557780"/>
            <wp:effectExtent l="0" t="0" r="5715" b="0"/>
            <wp:wrapSquare wrapText="bothSides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35" cy="255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084" w:rsidRDefault="005C42E7" w:rsidP="00EB1084">
      <w:pPr>
        <w:pStyle w:val="Listeafsnit"/>
      </w:pPr>
      <w:r>
        <w:t>Ortoradial optagelse (</w:t>
      </w:r>
      <w:proofErr w:type="gramStart"/>
      <w:r>
        <w:t xml:space="preserve">o)   </w:t>
      </w:r>
      <w:proofErr w:type="gramEnd"/>
      <w:r>
        <w:t xml:space="preserve">                                              </w:t>
      </w:r>
      <w:r>
        <w:br/>
        <w:t>Mesioekscentrisk optagelse (m)</w:t>
      </w:r>
      <w:r>
        <w:br/>
        <w:t>Distoekscentrisk optagelse (d)</w:t>
      </w:r>
    </w:p>
    <w:p w:rsidR="00DA63B4" w:rsidRDefault="00A128A0" w:rsidP="00EB108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4296410</wp:posOffset>
            </wp:positionH>
            <wp:positionV relativeFrom="paragraph">
              <wp:posOffset>865505</wp:posOffset>
            </wp:positionV>
            <wp:extent cx="1346200" cy="1617345"/>
            <wp:effectExtent l="0" t="0" r="6350" b="1905"/>
            <wp:wrapSquare wrapText="bothSides"/>
            <wp:docPr id="6" name="Billede 6" descr="Billedresultat for sagittal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ledresultat for sagittalpl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2E7">
        <w:t xml:space="preserve">Er vinkelhalveringsteknikken foretaget korrekt, gengives tanden i sin fulde længde (på grund af objekt-film-afstand ved parallelteknik fremkommer afbillede tænder med ca. 5 % forstørrelse) – dette forbliver et teoretisk anliggende som sjældent til aldrig opnås i praksis. </w:t>
      </w:r>
      <w:r w:rsidR="002C0C73">
        <w:br/>
      </w:r>
      <w:r w:rsidR="00DA63B4" w:rsidRPr="00EB1084">
        <w:rPr>
          <w:b/>
          <w:sz w:val="24"/>
          <w:u w:val="single"/>
        </w:rPr>
        <w:br/>
      </w:r>
      <w:r w:rsidR="005C42E7" w:rsidRPr="00EB1084">
        <w:rPr>
          <w:b/>
          <w:sz w:val="24"/>
        </w:rPr>
        <w:t>Udførsel</w:t>
      </w:r>
      <w:r w:rsidR="005C42E7" w:rsidRPr="00EB1084">
        <w:rPr>
          <w:b/>
          <w:sz w:val="24"/>
        </w:rPr>
        <w:br/>
      </w:r>
      <w:r w:rsidRPr="00EB1084">
        <w:rPr>
          <w:u w:val="single"/>
        </w:rPr>
        <w:t>Patientstilling</w:t>
      </w:r>
      <w:r w:rsidRPr="00EB1084">
        <w:rPr>
          <w:u w:val="single"/>
        </w:rPr>
        <w:br/>
      </w:r>
      <w:r>
        <w:t>Patient</w:t>
      </w:r>
      <w:r w:rsidR="00EB1084">
        <w:t xml:space="preserve">ens </w:t>
      </w:r>
      <w:r>
        <w:t>hoved skal placeres således</w:t>
      </w:r>
      <w:r w:rsidR="00D31A54">
        <w:t>,</w:t>
      </w:r>
      <w:r>
        <w:t xml:space="preserve"> at </w:t>
      </w:r>
      <w:proofErr w:type="spellStart"/>
      <w:r>
        <w:t>sagittalplanet</w:t>
      </w:r>
      <w:proofErr w:type="spellEnd"/>
      <w:r>
        <w:t xml:space="preserve"> er vertikalt og </w:t>
      </w:r>
      <w:proofErr w:type="spellStart"/>
      <w:r>
        <w:t>okklusalplanet</w:t>
      </w:r>
      <w:proofErr w:type="spellEnd"/>
      <w:r>
        <w:t xml:space="preserve"> er horisontalt</w:t>
      </w:r>
    </w:p>
    <w:p w:rsidR="00A128A0" w:rsidRPr="00A128A0" w:rsidRDefault="00A128A0" w:rsidP="005C42E7">
      <w:r>
        <w:rPr>
          <w:i/>
        </w:rPr>
        <w:t>Særlige stillingshensyn ifm. UK-optagelser</w:t>
      </w:r>
      <w:r>
        <w:rPr>
          <w:u w:val="single"/>
        </w:rPr>
        <w:br/>
      </w:r>
      <w:r>
        <w:t xml:space="preserve">Patientens hoved kippes </w:t>
      </w:r>
      <w:r w:rsidR="00D31A54">
        <w:t xml:space="preserve">let </w:t>
      </w:r>
      <w:r>
        <w:t xml:space="preserve">bagover for at kompensere for den ændrede hældning af </w:t>
      </w:r>
      <w:proofErr w:type="spellStart"/>
      <w:r>
        <w:t>okklusalplanet</w:t>
      </w:r>
      <w:proofErr w:type="spellEnd"/>
      <w:r w:rsidR="00D31A54">
        <w:t>,</w:t>
      </w:r>
      <w:r>
        <w:t xml:space="preserve"> når munden åbnes</w:t>
      </w:r>
      <w:r w:rsidR="00D31A54">
        <w:t xml:space="preserve"> (= UK sænkes).</w:t>
      </w:r>
    </w:p>
    <w:p w:rsidR="00A128A0" w:rsidRDefault="00A128A0" w:rsidP="005C42E7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4340860</wp:posOffset>
            </wp:positionH>
            <wp:positionV relativeFrom="paragraph">
              <wp:posOffset>267970</wp:posOffset>
            </wp:positionV>
            <wp:extent cx="1797050" cy="1497330"/>
            <wp:effectExtent l="0" t="0" r="0" b="7620"/>
            <wp:wrapSquare wrapText="bothSides"/>
            <wp:docPr id="7" name="Billede 7" descr="Billedresultat for angle intraoral x 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illedresultat for angle intraoral x ra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>Filmstilling</w:t>
      </w:r>
      <w:r>
        <w:rPr>
          <w:u w:val="single"/>
        </w:rPr>
        <w:br/>
      </w:r>
      <w:r>
        <w:t xml:space="preserve">Filmen placeres i tæt kontakt til tandens krone og processus alveolaris. </w:t>
      </w:r>
      <w:r>
        <w:br/>
        <w:t xml:space="preserve">Filmen fikseres af patientens finger. </w:t>
      </w:r>
    </w:p>
    <w:p w:rsidR="00A128A0" w:rsidRPr="00A128A0" w:rsidRDefault="00A128A0" w:rsidP="005C42E7">
      <w:proofErr w:type="spellStart"/>
      <w:r>
        <w:rPr>
          <w:u w:val="single"/>
        </w:rPr>
        <w:t>Tubusstilling</w:t>
      </w:r>
      <w:proofErr w:type="spellEnd"/>
      <w:r>
        <w:rPr>
          <w:u w:val="single"/>
        </w:rPr>
        <w:br/>
      </w:r>
      <w:r>
        <w:t xml:space="preserve">Tubus placeres således, at centralstrålen går gennem tandens apex og rammer vinkelret på den linje der halverer vinklen mellem filmens og tandens længdeakser. </w:t>
      </w:r>
    </w:p>
    <w:p w:rsidR="00DA63B4" w:rsidRDefault="00A128A0" w:rsidP="00DA63B4">
      <w:pPr>
        <w:rPr>
          <w:sz w:val="24"/>
        </w:rPr>
      </w:pPr>
      <w:r>
        <w:rPr>
          <w:b/>
          <w:sz w:val="24"/>
        </w:rPr>
        <w:t>Fordele</w:t>
      </w:r>
    </w:p>
    <w:p w:rsidR="008770D8" w:rsidRDefault="00A128A0" w:rsidP="00DA63B4">
      <w:pPr>
        <w:pStyle w:val="Listeafsnit"/>
        <w:numPr>
          <w:ilvl w:val="0"/>
          <w:numId w:val="7"/>
        </w:numPr>
        <w:rPr>
          <w:u w:val="single"/>
        </w:rPr>
      </w:pPr>
      <w:r w:rsidRPr="00A128A0">
        <w:rPr>
          <w:u w:val="single"/>
        </w:rPr>
        <w:t>Isometri</w:t>
      </w:r>
      <w:r w:rsidR="009948D4">
        <w:rPr>
          <w:u w:val="single"/>
        </w:rPr>
        <w:t xml:space="preserve"> (forstørrelse)</w:t>
      </w:r>
    </w:p>
    <w:p w:rsidR="00A128A0" w:rsidRDefault="00A128A0" w:rsidP="00A128A0">
      <w:pPr>
        <w:pStyle w:val="Listeafsnit"/>
      </w:pPr>
      <w:r>
        <w:t>Når vinkelhalveringsteknikken udføres korrekt gengives tanden i sin sande længde</w:t>
      </w:r>
      <w:r w:rsidR="009948D4">
        <w:t xml:space="preserve"> (objekt-film-afstand er mindre end ved parallelteknik som typisk har en forstørrelse på ca. 5 %)</w:t>
      </w:r>
    </w:p>
    <w:p w:rsidR="009948D4" w:rsidRDefault="009948D4" w:rsidP="009948D4">
      <w:pPr>
        <w:pStyle w:val="Listeafsnit"/>
        <w:numPr>
          <w:ilvl w:val="0"/>
          <w:numId w:val="7"/>
        </w:numPr>
      </w:pPr>
      <w:r>
        <w:rPr>
          <w:u w:val="single"/>
        </w:rPr>
        <w:lastRenderedPageBreak/>
        <w:t>Skarphed</w:t>
      </w:r>
      <w:r>
        <w:rPr>
          <w:u w:val="single"/>
        </w:rPr>
        <w:br/>
      </w:r>
      <w:r>
        <w:t>Teoretisk set større skarphed og mindre forstørrelse end ved parallelteknik pga. tandens tætte relation til filmen</w:t>
      </w:r>
    </w:p>
    <w:p w:rsidR="008770D8" w:rsidRPr="009948D4" w:rsidRDefault="009948D4" w:rsidP="00DA63B4">
      <w:pPr>
        <w:pStyle w:val="Listeafsnit"/>
        <w:numPr>
          <w:ilvl w:val="0"/>
          <w:numId w:val="7"/>
        </w:numPr>
      </w:pPr>
      <w:r>
        <w:rPr>
          <w:u w:val="single"/>
        </w:rPr>
        <w:t xml:space="preserve">Udvidet blotlæggelse af </w:t>
      </w:r>
      <w:proofErr w:type="spellStart"/>
      <w:r>
        <w:rPr>
          <w:u w:val="single"/>
        </w:rPr>
        <w:t>periapikale</w:t>
      </w:r>
      <w:proofErr w:type="spellEnd"/>
      <w:r>
        <w:rPr>
          <w:u w:val="single"/>
        </w:rPr>
        <w:t xml:space="preserve"> knogle</w:t>
      </w:r>
      <w:r>
        <w:rPr>
          <w:u w:val="single"/>
        </w:rPr>
        <w:br/>
      </w:r>
      <w:r>
        <w:t xml:space="preserve">Relevant ifm. bl.a. </w:t>
      </w:r>
      <w:proofErr w:type="spellStart"/>
      <w:r>
        <w:t>endodonti</w:t>
      </w:r>
      <w:proofErr w:type="spellEnd"/>
      <w:r>
        <w:t>, cyste- og tumordannelse m.m.</w:t>
      </w:r>
    </w:p>
    <w:p w:rsidR="008770D8" w:rsidRDefault="009948D4" w:rsidP="00DA63B4">
      <w:pPr>
        <w:rPr>
          <w:b/>
          <w:sz w:val="24"/>
        </w:rPr>
      </w:pPr>
      <w:r>
        <w:rPr>
          <w:b/>
          <w:sz w:val="24"/>
        </w:rPr>
        <w:t>Ulemper</w:t>
      </w:r>
    </w:p>
    <w:p w:rsidR="009F403C" w:rsidRDefault="009948D4" w:rsidP="009948D4">
      <w:pPr>
        <w:pStyle w:val="Listeafsnit"/>
        <w:numPr>
          <w:ilvl w:val="0"/>
          <w:numId w:val="8"/>
        </w:numPr>
      </w:pPr>
      <w:r>
        <w:rPr>
          <w:u w:val="single"/>
        </w:rPr>
        <w:t>Distortion</w:t>
      </w:r>
      <w:r>
        <w:rPr>
          <w:u w:val="single"/>
        </w:rPr>
        <w:br/>
      </w:r>
      <w:r w:rsidR="00CE100B">
        <w:t>Teorien bag vinkelhalveringsteknikken holder stik ved affotografering af flade</w:t>
      </w:r>
      <w:r w:rsidR="00EB1084">
        <w:t>, todimensionelle</w:t>
      </w:r>
      <w:r w:rsidR="00CE100B">
        <w:t xml:space="preserve"> objekter (kun længde/bredde), men tager ikke hensyn til objekter af tredimensionel karakter (længde/bredde/dybde), hvorfor der på grund af den manglende parallelitet film- og tandlængdeakser imellem, forekommer en såkaldt ”</w:t>
      </w:r>
      <w:proofErr w:type="spellStart"/>
      <w:r w:rsidR="00CE100B">
        <w:t>distortion</w:t>
      </w:r>
      <w:proofErr w:type="spellEnd"/>
      <w:r w:rsidR="00CE100B">
        <w:t>”. Det betyder i praksis bl.a.</w:t>
      </w:r>
      <w:r w:rsidR="00400506">
        <w:t>,</w:t>
      </w:r>
      <w:r w:rsidR="00CE100B">
        <w:t xml:space="preserve"> at </w:t>
      </w:r>
      <w:r w:rsidR="00CE100B">
        <w:br/>
        <w:t xml:space="preserve">overkæbemolarernes </w:t>
      </w:r>
      <w:r w:rsidR="00BD2641">
        <w:t>faciale</w:t>
      </w:r>
      <w:r w:rsidR="00CE100B">
        <w:t xml:space="preserve"> rodkomponenter altid fremstår uforholdsmæssigt kortere end sammes </w:t>
      </w:r>
      <w:r w:rsidR="00BD2641">
        <w:t xml:space="preserve">palatinale </w:t>
      </w:r>
      <w:r w:rsidR="00CE100B">
        <w:t>rodkomponent</w:t>
      </w:r>
      <w:r w:rsidR="00400506">
        <w:t xml:space="preserve"> (</w:t>
      </w:r>
      <w:r w:rsidR="00CE100B">
        <w:t xml:space="preserve">dybdedimensionen i overkæbemolarerne er større end resten af tandsættets hvorfor dette eksempel tjener </w:t>
      </w:r>
      <w:r w:rsidR="00400506">
        <w:t>bedst</w:t>
      </w:r>
      <w:r w:rsidR="00CE100B">
        <w:t xml:space="preserve"> til forståelsen). </w:t>
      </w:r>
    </w:p>
    <w:p w:rsidR="009F403C" w:rsidRDefault="009F403C" w:rsidP="009F403C">
      <w:pPr>
        <w:pStyle w:val="Listeafsnit"/>
        <w:rPr>
          <w:u w:val="single"/>
        </w:rPr>
      </w:pPr>
    </w:p>
    <w:p w:rsidR="009F403C" w:rsidRDefault="009F403C" w:rsidP="009F403C">
      <w:pPr>
        <w:pStyle w:val="Listeafsnit"/>
      </w:pPr>
      <w:r>
        <w:rPr>
          <w:noProof/>
        </w:rPr>
        <w:drawing>
          <wp:inline distT="0" distB="0" distL="0" distR="0">
            <wp:extent cx="5702300" cy="3302000"/>
            <wp:effectExtent l="0" t="0" r="0" b="0"/>
            <wp:docPr id="8" name="Bille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8D4" w:rsidRPr="009948D4" w:rsidRDefault="009F403C" w:rsidP="009F403C">
      <w:pPr>
        <w:pStyle w:val="Listeafsnit"/>
      </w:pPr>
      <w:r>
        <w:rPr>
          <w:i/>
          <w:sz w:val="20"/>
        </w:rPr>
        <w:t>Distortion</w:t>
      </w:r>
      <w:r w:rsidR="00A82C05">
        <w:rPr>
          <w:i/>
          <w:sz w:val="20"/>
        </w:rPr>
        <w:t xml:space="preserve"> anskuet ved hhv. parallelteknik (ingen </w:t>
      </w:r>
      <w:proofErr w:type="spellStart"/>
      <w:r w:rsidR="00A82C05">
        <w:rPr>
          <w:i/>
          <w:sz w:val="20"/>
        </w:rPr>
        <w:t>distortion</w:t>
      </w:r>
      <w:proofErr w:type="spellEnd"/>
      <w:r w:rsidR="00A82C05">
        <w:rPr>
          <w:i/>
          <w:sz w:val="20"/>
        </w:rPr>
        <w:t>) og vinkelhalveringsteknik</w:t>
      </w:r>
      <w:r w:rsidR="00CE100B">
        <w:br/>
      </w:r>
    </w:p>
    <w:p w:rsidR="009948D4" w:rsidRPr="009948D4" w:rsidRDefault="009948D4" w:rsidP="009948D4">
      <w:pPr>
        <w:pStyle w:val="Listeafsnit"/>
        <w:numPr>
          <w:ilvl w:val="0"/>
          <w:numId w:val="8"/>
        </w:numPr>
        <w:rPr>
          <w:b/>
          <w:sz w:val="24"/>
        </w:rPr>
      </w:pPr>
      <w:r>
        <w:rPr>
          <w:u w:val="single"/>
        </w:rPr>
        <w:t>Svært at udføre korrekt</w:t>
      </w:r>
    </w:p>
    <w:p w:rsidR="009948D4" w:rsidRDefault="009948D4" w:rsidP="009948D4">
      <w:pPr>
        <w:pStyle w:val="Listeafsnit"/>
      </w:pPr>
      <w:r>
        <w:t>Da behandler skal forestille sig tandens længdeakse samt vinkelhalveringslinjen</w:t>
      </w:r>
      <w:r w:rsidR="00BD2641">
        <w:t>,</w:t>
      </w:r>
      <w:r>
        <w:t xml:space="preserve"> er korrekt vinkelhalveringsteknik svært udførlig</w:t>
      </w:r>
      <w:r w:rsidR="00135FA7">
        <w:t>.</w:t>
      </w:r>
      <w:bookmarkStart w:id="0" w:name="_GoBack"/>
      <w:bookmarkEnd w:id="0"/>
    </w:p>
    <w:p w:rsidR="009948D4" w:rsidRPr="009948D4" w:rsidRDefault="009948D4" w:rsidP="009948D4">
      <w:pPr>
        <w:pStyle w:val="Listeafsnit"/>
      </w:pPr>
    </w:p>
    <w:p w:rsidR="008770D8" w:rsidRPr="00DA63B4" w:rsidRDefault="008770D8" w:rsidP="00DA63B4">
      <w:pPr>
        <w:rPr>
          <w:b/>
          <w:sz w:val="24"/>
        </w:rPr>
      </w:pPr>
    </w:p>
    <w:sectPr w:rsidR="008770D8" w:rsidRPr="00DA63B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A140E"/>
    <w:multiLevelType w:val="hybridMultilevel"/>
    <w:tmpl w:val="36F855B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64F7"/>
    <w:multiLevelType w:val="hybridMultilevel"/>
    <w:tmpl w:val="5894B2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805A4"/>
    <w:multiLevelType w:val="hybridMultilevel"/>
    <w:tmpl w:val="C534D7B4"/>
    <w:lvl w:ilvl="0" w:tplc="CD9C5F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5352B"/>
    <w:multiLevelType w:val="hybridMultilevel"/>
    <w:tmpl w:val="2AA8B2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17BA4"/>
    <w:multiLevelType w:val="hybridMultilevel"/>
    <w:tmpl w:val="2F1481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E79AC"/>
    <w:multiLevelType w:val="hybridMultilevel"/>
    <w:tmpl w:val="E08A9EA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528AC"/>
    <w:multiLevelType w:val="hybridMultilevel"/>
    <w:tmpl w:val="830015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63CCD"/>
    <w:multiLevelType w:val="hybridMultilevel"/>
    <w:tmpl w:val="36DC055A"/>
    <w:lvl w:ilvl="0" w:tplc="A88EF39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B4"/>
    <w:rsid w:val="00135FA7"/>
    <w:rsid w:val="002C0C73"/>
    <w:rsid w:val="00400506"/>
    <w:rsid w:val="005561BB"/>
    <w:rsid w:val="005C42E7"/>
    <w:rsid w:val="007E68E8"/>
    <w:rsid w:val="00822A50"/>
    <w:rsid w:val="008770D8"/>
    <w:rsid w:val="008772C1"/>
    <w:rsid w:val="009866C5"/>
    <w:rsid w:val="009948D4"/>
    <w:rsid w:val="009F403C"/>
    <w:rsid w:val="00A128A0"/>
    <w:rsid w:val="00A82C05"/>
    <w:rsid w:val="00B32A89"/>
    <w:rsid w:val="00BD2641"/>
    <w:rsid w:val="00CE100B"/>
    <w:rsid w:val="00D31A54"/>
    <w:rsid w:val="00DA63B4"/>
    <w:rsid w:val="00E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C6F0"/>
  <w15:chartTrackingRefBased/>
  <w15:docId w15:val="{35B9ED5C-FFE3-4288-8D38-5CEFD93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2C0C73"/>
    <w:pPr>
      <w:ind w:left="720"/>
      <w:contextualSpacing/>
    </w:pPr>
  </w:style>
  <w:style w:type="table" w:styleId="Tabel-Gitter">
    <w:name w:val="Table Grid"/>
    <w:basedOn w:val="Tabel-Normal"/>
    <w:uiPriority w:val="39"/>
    <w:rsid w:val="0087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484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4</cp:revision>
  <dcterms:created xsi:type="dcterms:W3CDTF">2019-02-07T15:53:00Z</dcterms:created>
  <dcterms:modified xsi:type="dcterms:W3CDTF">2019-02-07T15:57:00Z</dcterms:modified>
</cp:coreProperties>
</file>