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3BEB7A" w14:textId="77777777" w:rsidR="00EB3B5D" w:rsidRDefault="00B4344A" w:rsidP="00EA769A">
      <w:pPr>
        <w:pStyle w:val="Overskrift1"/>
        <w:ind w:left="-426"/>
      </w:pPr>
      <w:r>
        <w:t>35. Nyresten, akut og kronisk nyresvigt</w:t>
      </w:r>
    </w:p>
    <w:p w14:paraId="377AF6F9" w14:textId="0D6F19F6" w:rsidR="008B3701" w:rsidRDefault="008B3701" w:rsidP="00EA769A">
      <w:pPr>
        <w:ind w:left="-426" w:right="-914"/>
        <w:jc w:val="both"/>
      </w:pPr>
      <w:r>
        <w:rPr>
          <w:b/>
        </w:rPr>
        <w:t xml:space="preserve">Nyresten: </w:t>
      </w:r>
      <w:r>
        <w:t xml:space="preserve">Er en almindelig lidelse, og opstår hyppigt hvis ikke det underliggende problem behandles. Nyresten eller </w:t>
      </w:r>
      <w:proofErr w:type="spellStart"/>
      <w:r>
        <w:t>calculi</w:t>
      </w:r>
      <w:proofErr w:type="spellEnd"/>
      <w:r>
        <w:t xml:space="preserve"> kan udvikles alle steder i </w:t>
      </w:r>
      <w:r w:rsidR="00CB7DBD">
        <w:t xml:space="preserve">nyrerne og </w:t>
      </w:r>
      <w:r>
        <w:t xml:space="preserve">urinvejene. Stenene kan være hhv. små og store, hvor de store kan føre til </w:t>
      </w:r>
      <w:proofErr w:type="spellStart"/>
      <w:r>
        <w:t>urinvejs</w:t>
      </w:r>
      <w:proofErr w:type="spellEnd"/>
      <w:r>
        <w:t xml:space="preserve"> obstruktioner. </w:t>
      </w:r>
    </w:p>
    <w:p w14:paraId="7691A604" w14:textId="77777777" w:rsidR="008B3701" w:rsidRDefault="008B3701" w:rsidP="00EA769A">
      <w:pPr>
        <w:ind w:left="-426" w:right="-914"/>
        <w:jc w:val="both"/>
      </w:pPr>
    </w:p>
    <w:p w14:paraId="3692ED1D" w14:textId="77777777" w:rsidR="00EA769A" w:rsidRDefault="008B3701" w:rsidP="00EA769A">
      <w:pPr>
        <w:pStyle w:val="Listeafsnit"/>
        <w:numPr>
          <w:ilvl w:val="0"/>
          <w:numId w:val="5"/>
        </w:numPr>
        <w:ind w:left="0" w:right="-914"/>
        <w:jc w:val="both"/>
        <w:rPr>
          <w:sz w:val="24"/>
        </w:rPr>
      </w:pPr>
      <w:proofErr w:type="spellStart"/>
      <w:r w:rsidRPr="008B3701">
        <w:rPr>
          <w:sz w:val="24"/>
        </w:rPr>
        <w:t>Patofysiologi</w:t>
      </w:r>
      <w:proofErr w:type="spellEnd"/>
      <w:r w:rsidRPr="008B3701">
        <w:rPr>
          <w:sz w:val="24"/>
        </w:rPr>
        <w:t xml:space="preserve">: </w:t>
      </w:r>
      <w:r w:rsidR="00C43B61">
        <w:rPr>
          <w:sz w:val="24"/>
        </w:rPr>
        <w:t xml:space="preserve">Der findes forskellige former for nyresten. </w:t>
      </w:r>
      <w:r w:rsidR="00330F6D">
        <w:rPr>
          <w:sz w:val="24"/>
        </w:rPr>
        <w:t xml:space="preserve">Omkring 75 % af alle </w:t>
      </w:r>
      <w:proofErr w:type="spellStart"/>
      <w:r w:rsidR="009F75E7">
        <w:rPr>
          <w:sz w:val="24"/>
        </w:rPr>
        <w:t>calculi</w:t>
      </w:r>
      <w:r w:rsidR="00330F6D">
        <w:rPr>
          <w:sz w:val="24"/>
        </w:rPr>
        <w:t>tilfælde</w:t>
      </w:r>
      <w:proofErr w:type="spellEnd"/>
      <w:r w:rsidR="009F75E7">
        <w:rPr>
          <w:sz w:val="24"/>
        </w:rPr>
        <w:t xml:space="preserve"> </w:t>
      </w:r>
      <w:r w:rsidR="00330F6D">
        <w:rPr>
          <w:sz w:val="24"/>
        </w:rPr>
        <w:t xml:space="preserve">er calciumsten opbygget af </w:t>
      </w:r>
      <w:r w:rsidR="009F75E7">
        <w:rPr>
          <w:sz w:val="24"/>
        </w:rPr>
        <w:t>e</w:t>
      </w:r>
      <w:r w:rsidR="005110FB">
        <w:rPr>
          <w:sz w:val="24"/>
        </w:rPr>
        <w:t>r</w:t>
      </w:r>
      <w:r w:rsidR="009F75E7">
        <w:rPr>
          <w:sz w:val="24"/>
        </w:rPr>
        <w:t xml:space="preserve"> calcium sal</w:t>
      </w:r>
      <w:r w:rsidR="00330F6D">
        <w:rPr>
          <w:sz w:val="24"/>
        </w:rPr>
        <w:t>te, hvoraf de resterende tilfælde udgøres af bl.a. urinsyre</w:t>
      </w:r>
      <w:r w:rsidR="009F75E7">
        <w:rPr>
          <w:sz w:val="24"/>
        </w:rPr>
        <w:t xml:space="preserve"> </w:t>
      </w:r>
      <w:r w:rsidR="00330F6D">
        <w:rPr>
          <w:sz w:val="24"/>
        </w:rPr>
        <w:t xml:space="preserve">sten, og </w:t>
      </w:r>
      <w:proofErr w:type="spellStart"/>
      <w:r w:rsidR="009F75E7">
        <w:rPr>
          <w:sz w:val="24"/>
        </w:rPr>
        <w:t>struvite</w:t>
      </w:r>
      <w:proofErr w:type="spellEnd"/>
      <w:r w:rsidR="00330F6D">
        <w:rPr>
          <w:sz w:val="24"/>
        </w:rPr>
        <w:t xml:space="preserve"> sten</w:t>
      </w:r>
      <w:r w:rsidR="009F75E7">
        <w:rPr>
          <w:sz w:val="24"/>
        </w:rPr>
        <w:t xml:space="preserve"> alt afhæn</w:t>
      </w:r>
      <w:r w:rsidR="005852EF">
        <w:rPr>
          <w:sz w:val="24"/>
        </w:rPr>
        <w:t>g</w:t>
      </w:r>
      <w:r w:rsidR="009F75E7">
        <w:rPr>
          <w:sz w:val="24"/>
        </w:rPr>
        <w:t xml:space="preserve">ig af årsagen. </w:t>
      </w:r>
      <w:proofErr w:type="spellStart"/>
      <w:r w:rsidR="009F75E7">
        <w:rPr>
          <w:sz w:val="24"/>
        </w:rPr>
        <w:t>Calculi</w:t>
      </w:r>
      <w:proofErr w:type="spellEnd"/>
      <w:r w:rsidR="009F75E7">
        <w:rPr>
          <w:sz w:val="24"/>
        </w:rPr>
        <w:t xml:space="preserve"> </w:t>
      </w:r>
      <w:r w:rsidR="009433AA">
        <w:rPr>
          <w:sz w:val="24"/>
        </w:rPr>
        <w:t>har en tildens til at blive dannet</w:t>
      </w:r>
      <w:r>
        <w:rPr>
          <w:sz w:val="24"/>
        </w:rPr>
        <w:t xml:space="preserve"> når der er en overdreven mængde af relativt</w:t>
      </w:r>
      <w:r w:rsidR="009433AA">
        <w:rPr>
          <w:sz w:val="24"/>
        </w:rPr>
        <w:t xml:space="preserve"> uopløselige salte i filtratet, eller når utilstrækkelig væske indtag forårsager et højt koncentreret filtrat. Når først en solid masse dannes vil der forsat aflejres herpå hvorved massen vokser. Cellerester fra infektioner kan også danne en </w:t>
      </w:r>
      <w:proofErr w:type="spellStart"/>
      <w:r w:rsidR="009433AA">
        <w:rPr>
          <w:sz w:val="24"/>
        </w:rPr>
        <w:t>nidus</w:t>
      </w:r>
      <w:proofErr w:type="spellEnd"/>
      <w:r w:rsidR="009433AA">
        <w:rPr>
          <w:sz w:val="24"/>
        </w:rPr>
        <w:t xml:space="preserve"> (solid masse). Immobilitet (ubevægelighed) kan føre til </w:t>
      </w:r>
      <w:proofErr w:type="spellStart"/>
      <w:r w:rsidR="009433AA">
        <w:rPr>
          <w:sz w:val="24"/>
        </w:rPr>
        <w:t>calculi</w:t>
      </w:r>
      <w:proofErr w:type="spellEnd"/>
      <w:r w:rsidR="009433AA">
        <w:rPr>
          <w:sz w:val="24"/>
        </w:rPr>
        <w:t xml:space="preserve">  i nyrerne fordi stilstand af urinen resulterer i kemiske ændringer i urinen. </w:t>
      </w:r>
    </w:p>
    <w:p w14:paraId="7987FA95" w14:textId="77777777" w:rsidR="00EA769A" w:rsidRDefault="009433AA" w:rsidP="00EA769A">
      <w:pPr>
        <w:pStyle w:val="Listeafsnit"/>
        <w:ind w:left="0" w:right="-914"/>
        <w:jc w:val="both"/>
        <w:rPr>
          <w:sz w:val="24"/>
        </w:rPr>
      </w:pPr>
      <w:proofErr w:type="spellStart"/>
      <w:r w:rsidRPr="00EA769A">
        <w:rPr>
          <w:sz w:val="24"/>
        </w:rPr>
        <w:t>Calculi</w:t>
      </w:r>
      <w:proofErr w:type="spellEnd"/>
      <w:r w:rsidRPr="00EA769A">
        <w:rPr>
          <w:sz w:val="24"/>
        </w:rPr>
        <w:t xml:space="preserve"> fører normalt kun til manifestation (symptomer) når</w:t>
      </w:r>
      <w:r w:rsidR="007C0A9F" w:rsidRPr="00EA769A">
        <w:rPr>
          <w:sz w:val="24"/>
        </w:rPr>
        <w:t xml:space="preserve"> stenen danner en obs</w:t>
      </w:r>
      <w:r w:rsidR="00E05366" w:rsidRPr="00EA769A">
        <w:rPr>
          <w:sz w:val="24"/>
        </w:rPr>
        <w:t>t</w:t>
      </w:r>
      <w:r w:rsidR="007C0A9F" w:rsidRPr="00EA769A">
        <w:rPr>
          <w:sz w:val="24"/>
        </w:rPr>
        <w:t>r</w:t>
      </w:r>
      <w:r w:rsidR="008808C6" w:rsidRPr="00EA769A">
        <w:rPr>
          <w:sz w:val="24"/>
        </w:rPr>
        <w:t>uktion/</w:t>
      </w:r>
      <w:r w:rsidR="00E05366" w:rsidRPr="00EA769A">
        <w:rPr>
          <w:sz w:val="24"/>
        </w:rPr>
        <w:t xml:space="preserve">blokade for </w:t>
      </w:r>
      <w:proofErr w:type="spellStart"/>
      <w:r w:rsidR="00E05366" w:rsidRPr="00EA769A">
        <w:rPr>
          <w:sz w:val="24"/>
        </w:rPr>
        <w:t>urinflowet</w:t>
      </w:r>
      <w:proofErr w:type="spellEnd"/>
      <w:r w:rsidR="00E05366" w:rsidRPr="00EA769A">
        <w:rPr>
          <w:sz w:val="24"/>
        </w:rPr>
        <w:t xml:space="preserve">. Urinen vil være i stilstand hvis flowet blokeres, hvilket kan føre til infektion og irritation af vævet. Denne kan være en tidlig indikation på </w:t>
      </w:r>
      <w:proofErr w:type="spellStart"/>
      <w:r w:rsidR="00E05366" w:rsidRPr="00EA769A">
        <w:rPr>
          <w:sz w:val="24"/>
        </w:rPr>
        <w:t>calculi</w:t>
      </w:r>
      <w:proofErr w:type="spellEnd"/>
      <w:r w:rsidR="00E05366" w:rsidRPr="00EA769A">
        <w:rPr>
          <w:sz w:val="24"/>
        </w:rPr>
        <w:t xml:space="preserve"> formation. </w:t>
      </w:r>
    </w:p>
    <w:p w14:paraId="708FBE7A" w14:textId="70A5220F" w:rsidR="00017B7B" w:rsidRPr="00EA769A" w:rsidRDefault="00017B7B" w:rsidP="00EA769A">
      <w:pPr>
        <w:pStyle w:val="Listeafsnit"/>
        <w:ind w:left="0" w:right="-914"/>
        <w:jc w:val="both"/>
        <w:rPr>
          <w:sz w:val="24"/>
        </w:rPr>
      </w:pPr>
      <w:r w:rsidRPr="00EA769A">
        <w:rPr>
          <w:sz w:val="24"/>
        </w:rPr>
        <w:t xml:space="preserve">Når </w:t>
      </w:r>
      <w:proofErr w:type="spellStart"/>
      <w:r w:rsidRPr="00EA769A">
        <w:rPr>
          <w:sz w:val="24"/>
        </w:rPr>
        <w:t>Calculi</w:t>
      </w:r>
      <w:proofErr w:type="spellEnd"/>
      <w:r w:rsidRPr="00EA769A">
        <w:rPr>
          <w:sz w:val="24"/>
        </w:rPr>
        <w:t xml:space="preserve"> er lokaliseret i nyrer eller </w:t>
      </w:r>
      <w:proofErr w:type="spellStart"/>
      <w:r w:rsidRPr="00EA769A">
        <w:rPr>
          <w:sz w:val="24"/>
        </w:rPr>
        <w:t>ureter</w:t>
      </w:r>
      <w:proofErr w:type="spellEnd"/>
      <w:r w:rsidRPr="00EA769A">
        <w:rPr>
          <w:sz w:val="24"/>
        </w:rPr>
        <w:t xml:space="preserve"> kan </w:t>
      </w:r>
      <w:proofErr w:type="spellStart"/>
      <w:r w:rsidRPr="00EA769A">
        <w:rPr>
          <w:sz w:val="24"/>
        </w:rPr>
        <w:t>calculi</w:t>
      </w:r>
      <w:proofErr w:type="spellEnd"/>
      <w:r w:rsidRPr="00EA769A">
        <w:rPr>
          <w:sz w:val="24"/>
        </w:rPr>
        <w:t xml:space="preserve"> forårsage udviklingen af </w:t>
      </w:r>
      <w:proofErr w:type="spellStart"/>
      <w:r w:rsidRPr="00EA769A">
        <w:rPr>
          <w:sz w:val="24"/>
        </w:rPr>
        <w:t>hydronefrose</w:t>
      </w:r>
      <w:proofErr w:type="spellEnd"/>
      <w:r w:rsidRPr="00EA769A">
        <w:rPr>
          <w:sz w:val="24"/>
        </w:rPr>
        <w:t xml:space="preserve"> hvor </w:t>
      </w:r>
      <w:proofErr w:type="spellStart"/>
      <w:r w:rsidRPr="00EA769A">
        <w:rPr>
          <w:sz w:val="24"/>
        </w:rPr>
        <w:t>calyxer</w:t>
      </w:r>
      <w:proofErr w:type="spellEnd"/>
      <w:r w:rsidRPr="00EA769A">
        <w:rPr>
          <w:sz w:val="24"/>
        </w:rPr>
        <w:t xml:space="preserve"> </w:t>
      </w:r>
      <w:proofErr w:type="spellStart"/>
      <w:r w:rsidRPr="00EA769A">
        <w:rPr>
          <w:sz w:val="24"/>
        </w:rPr>
        <w:t>dilaterer</w:t>
      </w:r>
      <w:proofErr w:type="spellEnd"/>
      <w:r w:rsidRPr="00EA769A">
        <w:rPr>
          <w:sz w:val="24"/>
        </w:rPr>
        <w:t xml:space="preserve"> samt </w:t>
      </w:r>
      <w:proofErr w:type="spellStart"/>
      <w:r w:rsidRPr="00EA769A">
        <w:rPr>
          <w:sz w:val="24"/>
        </w:rPr>
        <w:t>atrophy</w:t>
      </w:r>
      <w:proofErr w:type="spellEnd"/>
      <w:r w:rsidRPr="00EA769A">
        <w:rPr>
          <w:sz w:val="24"/>
        </w:rPr>
        <w:t xml:space="preserve"> af det </w:t>
      </w:r>
      <w:proofErr w:type="spellStart"/>
      <w:r w:rsidRPr="00EA769A">
        <w:rPr>
          <w:sz w:val="24"/>
        </w:rPr>
        <w:t>renale</w:t>
      </w:r>
      <w:proofErr w:type="spellEnd"/>
      <w:r w:rsidRPr="00EA769A">
        <w:rPr>
          <w:sz w:val="24"/>
        </w:rPr>
        <w:t xml:space="preserve"> væv </w:t>
      </w:r>
      <w:r w:rsidR="009F75E7" w:rsidRPr="00EA769A">
        <w:rPr>
          <w:sz w:val="24"/>
        </w:rPr>
        <w:t xml:space="preserve">opstår </w:t>
      </w:r>
      <w:r w:rsidRPr="00EA769A">
        <w:rPr>
          <w:sz w:val="24"/>
        </w:rPr>
        <w:t>pga. trykket fra tilbage f</w:t>
      </w:r>
      <w:r w:rsidR="008808C6" w:rsidRPr="00EA769A">
        <w:rPr>
          <w:sz w:val="24"/>
        </w:rPr>
        <w:t>lowet af urin</w:t>
      </w:r>
      <w:r w:rsidR="009F75E7" w:rsidRPr="00EA769A">
        <w:rPr>
          <w:sz w:val="24"/>
        </w:rPr>
        <w:t xml:space="preserve"> bag obstruktionen. </w:t>
      </w:r>
    </w:p>
    <w:p w14:paraId="0DE022F1" w14:textId="77777777" w:rsidR="009F75E7" w:rsidRDefault="009F75E7" w:rsidP="00EA769A">
      <w:pPr>
        <w:pStyle w:val="Listeafsnit"/>
        <w:ind w:left="-426" w:right="-914"/>
        <w:jc w:val="both"/>
        <w:rPr>
          <w:sz w:val="24"/>
        </w:rPr>
      </w:pPr>
    </w:p>
    <w:p w14:paraId="3FC62167" w14:textId="77777777" w:rsidR="00EA769A" w:rsidRDefault="009F75E7" w:rsidP="00EA769A">
      <w:pPr>
        <w:pStyle w:val="Listeafsnit"/>
        <w:numPr>
          <w:ilvl w:val="0"/>
          <w:numId w:val="5"/>
        </w:numPr>
        <w:ind w:left="0" w:right="-914"/>
        <w:jc w:val="both"/>
        <w:rPr>
          <w:sz w:val="24"/>
        </w:rPr>
      </w:pPr>
      <w:r>
        <w:rPr>
          <w:sz w:val="24"/>
        </w:rPr>
        <w:t>Ætiologi: Calcium sten dannes når calcium nive</w:t>
      </w:r>
      <w:r w:rsidR="008808C6">
        <w:rPr>
          <w:sz w:val="24"/>
        </w:rPr>
        <w:t>a</w:t>
      </w:r>
      <w:r>
        <w:rPr>
          <w:sz w:val="24"/>
        </w:rPr>
        <w:t>uet  (</w:t>
      </w:r>
      <w:proofErr w:type="spellStart"/>
      <w:r>
        <w:rPr>
          <w:sz w:val="24"/>
        </w:rPr>
        <w:t>hypercalcemia</w:t>
      </w:r>
      <w:proofErr w:type="spellEnd"/>
      <w:r>
        <w:rPr>
          <w:sz w:val="24"/>
        </w:rPr>
        <w:t xml:space="preserve">) i urinen er høj fx pga. en </w:t>
      </w:r>
      <w:proofErr w:type="spellStart"/>
      <w:r>
        <w:rPr>
          <w:sz w:val="24"/>
        </w:rPr>
        <w:t>parathyroid</w:t>
      </w:r>
      <w:proofErr w:type="spellEnd"/>
      <w:r>
        <w:rPr>
          <w:sz w:val="24"/>
        </w:rPr>
        <w:t xml:space="preserve"> tumor eller andre metaboliske sygdomme. Opløseligheden af calciumsalte og </w:t>
      </w:r>
      <w:proofErr w:type="spellStart"/>
      <w:r>
        <w:rPr>
          <w:sz w:val="24"/>
        </w:rPr>
        <w:t>uric</w:t>
      </w:r>
      <w:proofErr w:type="spellEnd"/>
      <w:r>
        <w:rPr>
          <w:sz w:val="24"/>
        </w:rPr>
        <w:t xml:space="preserve"> </w:t>
      </w:r>
      <w:proofErr w:type="spellStart"/>
      <w:r>
        <w:rPr>
          <w:sz w:val="24"/>
        </w:rPr>
        <w:t>acid</w:t>
      </w:r>
      <w:proofErr w:type="spellEnd"/>
      <w:r>
        <w:rPr>
          <w:sz w:val="24"/>
        </w:rPr>
        <w:t xml:space="preserve"> varierer med pH værdien i urinen – calcium sten dannes </w:t>
      </w:r>
      <w:r w:rsidR="00F93600">
        <w:rPr>
          <w:sz w:val="24"/>
        </w:rPr>
        <w:t xml:space="preserve">hurtigere når urinen er basisk. </w:t>
      </w:r>
    </w:p>
    <w:p w14:paraId="3D2AEA09" w14:textId="2EFC4210" w:rsidR="00F93600" w:rsidRPr="00EA769A" w:rsidRDefault="00F93600" w:rsidP="00EA769A">
      <w:pPr>
        <w:pStyle w:val="Listeafsnit"/>
        <w:ind w:left="0" w:right="-914"/>
        <w:jc w:val="both"/>
        <w:rPr>
          <w:sz w:val="24"/>
        </w:rPr>
      </w:pPr>
      <w:r w:rsidRPr="00EA769A">
        <w:rPr>
          <w:sz w:val="24"/>
        </w:rPr>
        <w:t xml:space="preserve">Utilstrækkelig indtag af væske er også en væsentlig årsag til </w:t>
      </w:r>
      <w:proofErr w:type="spellStart"/>
      <w:r w:rsidRPr="00EA769A">
        <w:rPr>
          <w:sz w:val="24"/>
        </w:rPr>
        <w:t>calculi</w:t>
      </w:r>
      <w:proofErr w:type="spellEnd"/>
      <w:r w:rsidRPr="00EA769A">
        <w:rPr>
          <w:sz w:val="24"/>
        </w:rPr>
        <w:t xml:space="preserve"> formation.</w:t>
      </w:r>
    </w:p>
    <w:p w14:paraId="32613A5B" w14:textId="77777777" w:rsidR="00F93600" w:rsidRDefault="00F93600" w:rsidP="00EA769A">
      <w:pPr>
        <w:pStyle w:val="Listeafsnit"/>
        <w:ind w:left="-426" w:right="-914"/>
        <w:jc w:val="both"/>
        <w:rPr>
          <w:sz w:val="24"/>
        </w:rPr>
      </w:pPr>
    </w:p>
    <w:p w14:paraId="16FAD324" w14:textId="386C6277" w:rsidR="009F75E7" w:rsidRDefault="009F75E7" w:rsidP="00EA769A">
      <w:pPr>
        <w:pStyle w:val="Listeafsnit"/>
        <w:numPr>
          <w:ilvl w:val="0"/>
          <w:numId w:val="5"/>
        </w:numPr>
        <w:ind w:left="0" w:right="-914"/>
        <w:jc w:val="both"/>
        <w:rPr>
          <w:sz w:val="24"/>
        </w:rPr>
      </w:pPr>
      <w:r>
        <w:rPr>
          <w:sz w:val="24"/>
        </w:rPr>
        <w:t xml:space="preserve">Symptomer: </w:t>
      </w:r>
      <w:r w:rsidR="00827F88">
        <w:rPr>
          <w:sz w:val="24"/>
        </w:rPr>
        <w:t xml:space="preserve"> </w:t>
      </w:r>
      <w:r w:rsidR="005852EF">
        <w:rPr>
          <w:sz w:val="24"/>
        </w:rPr>
        <w:t xml:space="preserve">Sten i nyrer og blærer er som regel asymptotiske, medmindre hyppig infektion leder til </w:t>
      </w:r>
      <w:proofErr w:type="spellStart"/>
      <w:r w:rsidR="005852EF">
        <w:rPr>
          <w:sz w:val="24"/>
        </w:rPr>
        <w:t>investigation</w:t>
      </w:r>
      <w:proofErr w:type="spellEnd"/>
      <w:r w:rsidR="005852EF">
        <w:rPr>
          <w:sz w:val="24"/>
        </w:rPr>
        <w:t xml:space="preserve">. Nogle gange opstår smerte i flanken pga. en udvidet </w:t>
      </w:r>
      <w:proofErr w:type="spellStart"/>
      <w:r w:rsidR="005852EF">
        <w:rPr>
          <w:sz w:val="24"/>
        </w:rPr>
        <w:t>renal</w:t>
      </w:r>
      <w:proofErr w:type="spellEnd"/>
      <w:r w:rsidR="005852EF">
        <w:rPr>
          <w:sz w:val="24"/>
        </w:rPr>
        <w:t xml:space="preserve"> kapsel. Obstruktion af </w:t>
      </w:r>
      <w:proofErr w:type="spellStart"/>
      <w:r w:rsidR="005852EF">
        <w:rPr>
          <w:sz w:val="24"/>
        </w:rPr>
        <w:t>ureter</w:t>
      </w:r>
      <w:proofErr w:type="spellEnd"/>
      <w:r w:rsidR="005852EF">
        <w:rPr>
          <w:sz w:val="24"/>
        </w:rPr>
        <w:t xml:space="preserve"> leder til et anfald af ”</w:t>
      </w:r>
      <w:proofErr w:type="spellStart"/>
      <w:r w:rsidR="005852EF">
        <w:rPr>
          <w:sz w:val="24"/>
        </w:rPr>
        <w:t>renal</w:t>
      </w:r>
      <w:proofErr w:type="spellEnd"/>
      <w:r w:rsidR="005852EF">
        <w:rPr>
          <w:sz w:val="24"/>
        </w:rPr>
        <w:t xml:space="preserve"> </w:t>
      </w:r>
      <w:proofErr w:type="spellStart"/>
      <w:r w:rsidR="005852EF">
        <w:rPr>
          <w:sz w:val="24"/>
        </w:rPr>
        <w:t>colic</w:t>
      </w:r>
      <w:proofErr w:type="spellEnd"/>
      <w:r w:rsidR="005852EF">
        <w:rPr>
          <w:sz w:val="24"/>
        </w:rPr>
        <w:t xml:space="preserve">” som inkluderer intense kramper af smerte i flanken som varer ved indtil stenene har passeret. Smerten opstår som konsekvens af kontraktioner som forsøger at skubbe til stenen. Smerten kan være ledsaget af kvalme, opkast og hurtig puls. </w:t>
      </w:r>
    </w:p>
    <w:p w14:paraId="12B910AD" w14:textId="77777777" w:rsidR="00827F88" w:rsidRPr="00EA769A" w:rsidRDefault="00827F88" w:rsidP="00EA769A">
      <w:pPr>
        <w:ind w:right="-914"/>
        <w:jc w:val="both"/>
      </w:pPr>
    </w:p>
    <w:p w14:paraId="4731EE4A" w14:textId="70B0F89B" w:rsidR="009F75E7" w:rsidRDefault="009F75E7" w:rsidP="00EA769A">
      <w:pPr>
        <w:pStyle w:val="Listeafsnit"/>
        <w:numPr>
          <w:ilvl w:val="0"/>
          <w:numId w:val="5"/>
        </w:numPr>
        <w:ind w:left="0" w:right="-914"/>
        <w:jc w:val="both"/>
        <w:rPr>
          <w:sz w:val="24"/>
        </w:rPr>
      </w:pPr>
      <w:r>
        <w:rPr>
          <w:sz w:val="24"/>
        </w:rPr>
        <w:t xml:space="preserve">Diagnostiske tests: Urinanalyser for at bestemme indholdet af </w:t>
      </w:r>
      <w:proofErr w:type="spellStart"/>
      <w:r>
        <w:rPr>
          <w:sz w:val="24"/>
        </w:rPr>
        <w:t>calculi</w:t>
      </w:r>
      <w:proofErr w:type="spellEnd"/>
      <w:r>
        <w:rPr>
          <w:sz w:val="24"/>
        </w:rPr>
        <w:t xml:space="preserve"> og dermed de prædisponerende faktorer for </w:t>
      </w:r>
      <w:proofErr w:type="spellStart"/>
      <w:r>
        <w:rPr>
          <w:sz w:val="24"/>
        </w:rPr>
        <w:t>calculiformationen</w:t>
      </w:r>
      <w:proofErr w:type="spellEnd"/>
      <w:r w:rsidR="005852EF">
        <w:rPr>
          <w:sz w:val="24"/>
        </w:rPr>
        <w:t xml:space="preserve">. Røntgenbilleder kan bekræfte lokalisation af stenene. </w:t>
      </w:r>
    </w:p>
    <w:p w14:paraId="39A2CB7E" w14:textId="77777777" w:rsidR="009433AA" w:rsidRDefault="009433AA" w:rsidP="00EA769A">
      <w:pPr>
        <w:ind w:left="-426" w:right="-914"/>
        <w:jc w:val="both"/>
      </w:pPr>
    </w:p>
    <w:p w14:paraId="7F891902" w14:textId="3C5A2CBD" w:rsidR="005852EF" w:rsidRPr="005852EF" w:rsidRDefault="009433AA" w:rsidP="00EA769A">
      <w:pPr>
        <w:pStyle w:val="Listeafsnit"/>
        <w:numPr>
          <w:ilvl w:val="0"/>
          <w:numId w:val="5"/>
        </w:numPr>
        <w:ind w:left="0" w:right="-914"/>
        <w:jc w:val="both"/>
        <w:rPr>
          <w:sz w:val="24"/>
        </w:rPr>
      </w:pPr>
      <w:r w:rsidRPr="005852EF">
        <w:rPr>
          <w:sz w:val="24"/>
        </w:rPr>
        <w:t>Behandling: Høj</w:t>
      </w:r>
      <w:r w:rsidR="008808C6">
        <w:rPr>
          <w:sz w:val="24"/>
        </w:rPr>
        <w:t>t</w:t>
      </w:r>
      <w:r w:rsidRPr="005852EF">
        <w:rPr>
          <w:sz w:val="24"/>
        </w:rPr>
        <w:t xml:space="preserve"> væskeindtag kan assistere i hurtig fjernelse af små sten i urinvejene. </w:t>
      </w:r>
      <w:r w:rsidR="00953763">
        <w:rPr>
          <w:sz w:val="24"/>
        </w:rPr>
        <w:t xml:space="preserve">Generelt skal prædisponerende faktorer behandles først! </w:t>
      </w:r>
      <w:r w:rsidR="005852EF">
        <w:rPr>
          <w:sz w:val="24"/>
        </w:rPr>
        <w:t xml:space="preserve">Nyere metoder kan fragmentere stenene uden kirurgisk indgreb fx vha. </w:t>
      </w:r>
      <w:proofErr w:type="spellStart"/>
      <w:r w:rsidR="005852EF">
        <w:rPr>
          <w:sz w:val="24"/>
        </w:rPr>
        <w:t>shock</w:t>
      </w:r>
      <w:proofErr w:type="spellEnd"/>
      <w:r w:rsidR="005852EF">
        <w:rPr>
          <w:sz w:val="24"/>
        </w:rPr>
        <w:t xml:space="preserve">-bølger  </w:t>
      </w:r>
      <w:proofErr w:type="spellStart"/>
      <w:r w:rsidR="005852EF">
        <w:rPr>
          <w:sz w:val="24"/>
        </w:rPr>
        <w:t>lithotripsy</w:t>
      </w:r>
      <w:proofErr w:type="spellEnd"/>
      <w:r w:rsidR="005852EF">
        <w:rPr>
          <w:sz w:val="24"/>
        </w:rPr>
        <w:t xml:space="preserve"> (ESWL) og laser </w:t>
      </w:r>
      <w:proofErr w:type="spellStart"/>
      <w:r w:rsidR="005852EF">
        <w:rPr>
          <w:sz w:val="24"/>
        </w:rPr>
        <w:t>lithotripsy</w:t>
      </w:r>
      <w:proofErr w:type="spellEnd"/>
      <w:r w:rsidR="005852EF">
        <w:rPr>
          <w:sz w:val="24"/>
        </w:rPr>
        <w:t xml:space="preserve">. I nogle tilfælde gives drugs for at opløse stenen delvist. </w:t>
      </w:r>
    </w:p>
    <w:p w14:paraId="71B82094" w14:textId="77777777" w:rsidR="000F47DF" w:rsidRDefault="000F47DF" w:rsidP="00EA769A">
      <w:pPr>
        <w:ind w:left="-426" w:right="-914"/>
        <w:jc w:val="both"/>
        <w:rPr>
          <w:b/>
        </w:rPr>
      </w:pPr>
    </w:p>
    <w:p w14:paraId="63EE4A7A" w14:textId="77777777" w:rsidR="00EA769A" w:rsidRDefault="00EA769A" w:rsidP="00EA769A">
      <w:pPr>
        <w:ind w:left="-426" w:right="-914"/>
        <w:jc w:val="both"/>
        <w:rPr>
          <w:b/>
        </w:rPr>
      </w:pPr>
    </w:p>
    <w:p w14:paraId="47AC1FA8" w14:textId="77777777" w:rsidR="00EA769A" w:rsidRDefault="00EA769A" w:rsidP="00EA769A">
      <w:pPr>
        <w:ind w:left="-426" w:right="-914"/>
        <w:jc w:val="both"/>
        <w:rPr>
          <w:b/>
        </w:rPr>
      </w:pPr>
    </w:p>
    <w:p w14:paraId="197EE3F1" w14:textId="77777777" w:rsidR="00EA769A" w:rsidRDefault="00EA769A" w:rsidP="00EA769A">
      <w:pPr>
        <w:ind w:left="-426" w:right="-914"/>
        <w:jc w:val="both"/>
        <w:rPr>
          <w:b/>
        </w:rPr>
      </w:pPr>
    </w:p>
    <w:p w14:paraId="72DC9B0E" w14:textId="0B9F1059" w:rsidR="009433AA" w:rsidRDefault="00953763" w:rsidP="00EA769A">
      <w:pPr>
        <w:ind w:left="-426" w:right="-914"/>
        <w:jc w:val="both"/>
        <w:rPr>
          <w:b/>
        </w:rPr>
      </w:pPr>
      <w:r>
        <w:rPr>
          <w:b/>
        </w:rPr>
        <w:lastRenderedPageBreak/>
        <w:t xml:space="preserve">Akut </w:t>
      </w:r>
      <w:r w:rsidR="00EA769A">
        <w:rPr>
          <w:b/>
        </w:rPr>
        <w:t xml:space="preserve">og kronisk </w:t>
      </w:r>
      <w:r>
        <w:rPr>
          <w:b/>
        </w:rPr>
        <w:t xml:space="preserve">nyresvigt: </w:t>
      </w:r>
    </w:p>
    <w:tbl>
      <w:tblPr>
        <w:tblStyle w:val="Tabelgitter"/>
        <w:tblW w:w="0" w:type="auto"/>
        <w:tblLook w:val="04A0" w:firstRow="1" w:lastRow="0" w:firstColumn="1" w:lastColumn="0" w:noHBand="0" w:noVBand="1"/>
      </w:tblPr>
      <w:tblGrid>
        <w:gridCol w:w="1908"/>
        <w:gridCol w:w="3378"/>
        <w:gridCol w:w="3230"/>
      </w:tblGrid>
      <w:tr w:rsidR="00EA769A" w14:paraId="755684BC" w14:textId="77777777" w:rsidTr="00F35BB7">
        <w:tc>
          <w:tcPr>
            <w:tcW w:w="2235" w:type="dxa"/>
          </w:tcPr>
          <w:p w14:paraId="7B60A383" w14:textId="77777777" w:rsidR="00EA769A" w:rsidRPr="00EC0385" w:rsidRDefault="00EA769A" w:rsidP="00F35BB7">
            <w:pPr>
              <w:rPr>
                <w:b/>
              </w:rPr>
            </w:pPr>
            <w:r w:rsidRPr="00EC0385">
              <w:rPr>
                <w:b/>
              </w:rPr>
              <w:t>Type</w:t>
            </w:r>
          </w:p>
        </w:tc>
        <w:tc>
          <w:tcPr>
            <w:tcW w:w="3969" w:type="dxa"/>
          </w:tcPr>
          <w:p w14:paraId="456DDBB7" w14:textId="77777777" w:rsidR="00EA769A" w:rsidRPr="00EC0385" w:rsidRDefault="00EA769A" w:rsidP="00F35BB7">
            <w:pPr>
              <w:rPr>
                <w:b/>
              </w:rPr>
            </w:pPr>
            <w:r w:rsidRPr="00EC0385">
              <w:rPr>
                <w:b/>
              </w:rPr>
              <w:t>Akut nyresvigt</w:t>
            </w:r>
          </w:p>
        </w:tc>
        <w:tc>
          <w:tcPr>
            <w:tcW w:w="3568" w:type="dxa"/>
          </w:tcPr>
          <w:p w14:paraId="2292D087" w14:textId="77777777" w:rsidR="00EA769A" w:rsidRPr="00EC0385" w:rsidRDefault="00EA769A" w:rsidP="00F35BB7">
            <w:pPr>
              <w:rPr>
                <w:b/>
              </w:rPr>
            </w:pPr>
            <w:r w:rsidRPr="00EC0385">
              <w:rPr>
                <w:b/>
              </w:rPr>
              <w:t>Kronisk nyresvigt</w:t>
            </w:r>
          </w:p>
        </w:tc>
      </w:tr>
      <w:tr w:rsidR="00EA769A" w14:paraId="2E49A2A6" w14:textId="77777777" w:rsidTr="00F35BB7">
        <w:tc>
          <w:tcPr>
            <w:tcW w:w="2235" w:type="dxa"/>
          </w:tcPr>
          <w:p w14:paraId="132F1B42" w14:textId="77777777" w:rsidR="00EA769A" w:rsidRPr="00EC0385" w:rsidRDefault="00EA769A" w:rsidP="00F35BB7">
            <w:pPr>
              <w:rPr>
                <w:b/>
              </w:rPr>
            </w:pPr>
            <w:proofErr w:type="spellStart"/>
            <w:r>
              <w:rPr>
                <w:b/>
              </w:rPr>
              <w:t>Patofysiologi</w:t>
            </w:r>
            <w:proofErr w:type="spellEnd"/>
          </w:p>
        </w:tc>
        <w:tc>
          <w:tcPr>
            <w:tcW w:w="3969" w:type="dxa"/>
          </w:tcPr>
          <w:p w14:paraId="1135694E" w14:textId="77777777" w:rsidR="00EA769A" w:rsidRDefault="00EA769A" w:rsidP="00F35BB7">
            <w:r>
              <w:t>Alvorlig tilstand hvor nyrernes funktion pludseligt nedsættes kraftigt eller ophører.</w:t>
            </w:r>
          </w:p>
          <w:p w14:paraId="49157CE6" w14:textId="77777777" w:rsidR="00EA769A" w:rsidRDefault="00EA769A" w:rsidP="00F35BB7">
            <w:r>
              <w:t>Sekundær til primære årsager</w:t>
            </w:r>
          </w:p>
          <w:p w14:paraId="586559CC" w14:textId="77777777" w:rsidR="00EA769A" w:rsidRDefault="00EA769A" w:rsidP="00F35BB7">
            <w:r>
              <w:t>Begge nyrer skal være involveret.</w:t>
            </w:r>
          </w:p>
          <w:p w14:paraId="4332C392" w14:textId="77777777" w:rsidR="00EA769A" w:rsidRDefault="00EA769A" w:rsidP="00F35BB7">
            <w:r>
              <w:t>Normalt reversibelt – hvis primær behandles effektivt.</w:t>
            </w:r>
          </w:p>
        </w:tc>
        <w:tc>
          <w:tcPr>
            <w:tcW w:w="3568" w:type="dxa"/>
          </w:tcPr>
          <w:p w14:paraId="0D85976D" w14:textId="77777777" w:rsidR="00EA769A" w:rsidRPr="00EA769A" w:rsidRDefault="00EA769A" w:rsidP="00F35BB7">
            <w:r w:rsidRPr="00EA769A">
              <w:t xml:space="preserve">Sjælden tilstand hvori der forekommer gradvis nedbrydning af nyrerne i form af tab af </w:t>
            </w:r>
            <w:proofErr w:type="spellStart"/>
            <w:r w:rsidRPr="00EA769A">
              <w:t>nefroner</w:t>
            </w:r>
            <w:proofErr w:type="spellEnd"/>
            <w:r w:rsidRPr="00EA769A">
              <w:t xml:space="preserve"> over en lang periode.</w:t>
            </w:r>
          </w:p>
          <w:p w14:paraId="590EECD7" w14:textId="77777777" w:rsidR="00EA769A" w:rsidRPr="00EA769A" w:rsidRDefault="00EA769A" w:rsidP="00F35BB7">
            <w:r w:rsidRPr="00EA769A">
              <w:t>Irreversibel.</w:t>
            </w:r>
          </w:p>
          <w:p w14:paraId="2CA0CF72" w14:textId="77777777" w:rsidR="00EA769A" w:rsidRPr="00EA769A" w:rsidRDefault="00EA769A" w:rsidP="00F35BB7">
            <w:r w:rsidRPr="00EA769A">
              <w:t>Forløber over flere stadier:</w:t>
            </w:r>
          </w:p>
          <w:p w14:paraId="30430C00" w14:textId="77777777" w:rsidR="00EA769A" w:rsidRPr="00EA769A" w:rsidRDefault="00EA769A" w:rsidP="00EA769A">
            <w:pPr>
              <w:pStyle w:val="Listeafsnit"/>
              <w:numPr>
                <w:ilvl w:val="0"/>
                <w:numId w:val="4"/>
              </w:numPr>
              <w:spacing w:after="0" w:line="240" w:lineRule="auto"/>
              <w:rPr>
                <w:sz w:val="24"/>
                <w:szCs w:val="24"/>
              </w:rPr>
            </w:pPr>
            <w:r w:rsidRPr="00EA769A">
              <w:rPr>
                <w:sz w:val="24"/>
                <w:szCs w:val="24"/>
              </w:rPr>
              <w:t xml:space="preserve">mindsket </w:t>
            </w:r>
            <w:proofErr w:type="spellStart"/>
            <w:r w:rsidRPr="00EA769A">
              <w:rPr>
                <w:sz w:val="24"/>
                <w:szCs w:val="24"/>
              </w:rPr>
              <w:t>renal</w:t>
            </w:r>
            <w:proofErr w:type="spellEnd"/>
            <w:r w:rsidRPr="00EA769A">
              <w:rPr>
                <w:sz w:val="24"/>
                <w:szCs w:val="24"/>
              </w:rPr>
              <w:t xml:space="preserve"> reserve: 60% af </w:t>
            </w:r>
            <w:proofErr w:type="spellStart"/>
            <w:r w:rsidRPr="00EA769A">
              <w:rPr>
                <w:sz w:val="24"/>
                <w:szCs w:val="24"/>
              </w:rPr>
              <w:t>nefronerne</w:t>
            </w:r>
            <w:proofErr w:type="spellEnd"/>
            <w:r w:rsidRPr="00EA769A">
              <w:rPr>
                <w:sz w:val="24"/>
                <w:szCs w:val="24"/>
              </w:rPr>
              <w:t xml:space="preserve"> er gået tabt, ingen kliniske symptomer da de tilbageværende </w:t>
            </w:r>
            <w:proofErr w:type="spellStart"/>
            <w:r w:rsidRPr="00EA769A">
              <w:rPr>
                <w:sz w:val="24"/>
                <w:szCs w:val="24"/>
              </w:rPr>
              <w:t>nefroner</w:t>
            </w:r>
            <w:proofErr w:type="spellEnd"/>
            <w:r w:rsidRPr="00EA769A">
              <w:rPr>
                <w:sz w:val="24"/>
                <w:szCs w:val="24"/>
              </w:rPr>
              <w:t xml:space="preserve"> adapterer til omstændighederne og øger filtrationsevnen</w:t>
            </w:r>
          </w:p>
          <w:p w14:paraId="17302FB3" w14:textId="77777777" w:rsidR="00EA769A" w:rsidRPr="00EA769A" w:rsidRDefault="00EA769A" w:rsidP="00EA769A">
            <w:pPr>
              <w:pStyle w:val="Listeafsnit"/>
              <w:numPr>
                <w:ilvl w:val="0"/>
                <w:numId w:val="4"/>
              </w:numPr>
              <w:spacing w:after="0" w:line="240" w:lineRule="auto"/>
              <w:rPr>
                <w:sz w:val="24"/>
                <w:szCs w:val="24"/>
              </w:rPr>
            </w:pPr>
            <w:proofErr w:type="spellStart"/>
            <w:r w:rsidRPr="00EA769A">
              <w:rPr>
                <w:sz w:val="24"/>
                <w:szCs w:val="24"/>
              </w:rPr>
              <w:t>renal</w:t>
            </w:r>
            <w:proofErr w:type="spellEnd"/>
            <w:r w:rsidRPr="00EA769A">
              <w:rPr>
                <w:sz w:val="24"/>
                <w:szCs w:val="24"/>
              </w:rPr>
              <w:t xml:space="preserve"> insufficiens: 75% af </w:t>
            </w:r>
            <w:proofErr w:type="spellStart"/>
            <w:r w:rsidRPr="00EA769A">
              <w:rPr>
                <w:sz w:val="24"/>
                <w:szCs w:val="24"/>
              </w:rPr>
              <w:t>nefronerne</w:t>
            </w:r>
            <w:proofErr w:type="spellEnd"/>
            <w:r w:rsidRPr="00EA769A">
              <w:rPr>
                <w:sz w:val="24"/>
                <w:szCs w:val="24"/>
              </w:rPr>
              <w:t xml:space="preserve"> er gået tabt, nedsat GFR med 20% </w:t>
            </w:r>
            <w:r w:rsidRPr="00EA769A">
              <w:rPr>
                <w:sz w:val="24"/>
                <w:szCs w:val="24"/>
              </w:rPr>
              <w:sym w:font="Wingdings" w:char="F0E0"/>
            </w:r>
            <w:r w:rsidRPr="00EA769A">
              <w:rPr>
                <w:sz w:val="24"/>
                <w:szCs w:val="24"/>
              </w:rPr>
              <w:t xml:space="preserve"> retention af nitrogenaffald (ændring af kemikalier i blodet), udskillelse af store mængder fortyndet urin, højt blodtryk</w:t>
            </w:r>
          </w:p>
          <w:p w14:paraId="2EA29562" w14:textId="77777777" w:rsidR="00EA769A" w:rsidRPr="00EA769A" w:rsidRDefault="00EA769A" w:rsidP="00EA769A">
            <w:pPr>
              <w:pStyle w:val="Listeafsnit"/>
              <w:numPr>
                <w:ilvl w:val="0"/>
                <w:numId w:val="4"/>
              </w:numPr>
              <w:spacing w:after="0" w:line="240" w:lineRule="auto"/>
              <w:jc w:val="center"/>
              <w:rPr>
                <w:sz w:val="24"/>
                <w:szCs w:val="24"/>
              </w:rPr>
            </w:pPr>
            <w:r w:rsidRPr="00EA769A">
              <w:rPr>
                <w:sz w:val="24"/>
                <w:szCs w:val="24"/>
              </w:rPr>
              <w:t xml:space="preserve">end stage: mere end 90% af </w:t>
            </w:r>
            <w:proofErr w:type="spellStart"/>
            <w:r w:rsidRPr="00EA769A">
              <w:rPr>
                <w:sz w:val="24"/>
                <w:szCs w:val="24"/>
              </w:rPr>
              <w:t>nefronerne</w:t>
            </w:r>
            <w:proofErr w:type="spellEnd"/>
            <w:r w:rsidRPr="00EA769A">
              <w:rPr>
                <w:sz w:val="24"/>
                <w:szCs w:val="24"/>
              </w:rPr>
              <w:t xml:space="preserve"> er gået tabt. GFR rigtig dårlig </w:t>
            </w:r>
            <w:r w:rsidRPr="00EA769A">
              <w:rPr>
                <w:sz w:val="24"/>
                <w:szCs w:val="24"/>
              </w:rPr>
              <w:sym w:font="Wingdings" w:char="F0E0"/>
            </w:r>
            <w:r w:rsidRPr="00EA769A">
              <w:rPr>
                <w:sz w:val="24"/>
                <w:szCs w:val="24"/>
              </w:rPr>
              <w:t xml:space="preserve"> væske, elektrolytter og affaldsstoffer tilbageholdes og påvirker kroppens systemer. Markant </w:t>
            </w:r>
            <w:proofErr w:type="spellStart"/>
            <w:r w:rsidRPr="00EA769A">
              <w:rPr>
                <w:sz w:val="24"/>
                <w:szCs w:val="24"/>
              </w:rPr>
              <w:t>oliguri</w:t>
            </w:r>
            <w:proofErr w:type="spellEnd"/>
            <w:r w:rsidRPr="00EA769A">
              <w:rPr>
                <w:sz w:val="24"/>
                <w:szCs w:val="24"/>
              </w:rPr>
              <w:t xml:space="preserve"> eller </w:t>
            </w:r>
            <w:proofErr w:type="spellStart"/>
            <w:r w:rsidRPr="00EA769A">
              <w:rPr>
                <w:sz w:val="24"/>
                <w:szCs w:val="24"/>
              </w:rPr>
              <w:t>anuri</w:t>
            </w:r>
            <w:proofErr w:type="spellEnd"/>
            <w:r w:rsidRPr="00EA769A">
              <w:rPr>
                <w:sz w:val="24"/>
                <w:szCs w:val="24"/>
              </w:rPr>
              <w:t>.</w:t>
            </w:r>
          </w:p>
        </w:tc>
      </w:tr>
      <w:tr w:rsidR="00EA769A" w14:paraId="39789EB5" w14:textId="77777777" w:rsidTr="00F35BB7">
        <w:tc>
          <w:tcPr>
            <w:tcW w:w="2235" w:type="dxa"/>
          </w:tcPr>
          <w:p w14:paraId="59F1902C" w14:textId="77777777" w:rsidR="00EA769A" w:rsidRPr="00EC0385" w:rsidRDefault="00EA769A" w:rsidP="00F35BB7">
            <w:pPr>
              <w:rPr>
                <w:b/>
              </w:rPr>
            </w:pPr>
            <w:r>
              <w:rPr>
                <w:b/>
              </w:rPr>
              <w:t>Ætiologi</w:t>
            </w:r>
          </w:p>
        </w:tc>
        <w:tc>
          <w:tcPr>
            <w:tcW w:w="3969" w:type="dxa"/>
          </w:tcPr>
          <w:p w14:paraId="2334C7F8" w14:textId="77777777" w:rsidR="00EA769A" w:rsidRPr="00EA769A" w:rsidRDefault="00EA769A" w:rsidP="00F35BB7">
            <w:r w:rsidRPr="00EA769A">
              <w:t>Mange årsager:</w:t>
            </w:r>
          </w:p>
          <w:p w14:paraId="3AE842B8" w14:textId="77777777" w:rsidR="00EA769A" w:rsidRPr="00EA769A" w:rsidRDefault="00EA769A" w:rsidP="00EA769A">
            <w:pPr>
              <w:pStyle w:val="Listeafsnit"/>
              <w:numPr>
                <w:ilvl w:val="0"/>
                <w:numId w:val="3"/>
              </w:numPr>
              <w:spacing w:after="0" w:line="240" w:lineRule="auto"/>
              <w:rPr>
                <w:sz w:val="24"/>
                <w:szCs w:val="24"/>
              </w:rPr>
            </w:pPr>
            <w:r w:rsidRPr="00EA769A">
              <w:rPr>
                <w:sz w:val="24"/>
                <w:szCs w:val="24"/>
              </w:rPr>
              <w:t xml:space="preserve">beskadigelse af nyrevæv pga. fx betændelsestilstande som </w:t>
            </w:r>
            <w:proofErr w:type="spellStart"/>
            <w:r w:rsidRPr="00EA769A">
              <w:rPr>
                <w:sz w:val="24"/>
                <w:szCs w:val="24"/>
              </w:rPr>
              <w:t>glomerulonefritis</w:t>
            </w:r>
            <w:proofErr w:type="spellEnd"/>
            <w:r w:rsidRPr="00EA769A">
              <w:rPr>
                <w:sz w:val="24"/>
                <w:szCs w:val="24"/>
              </w:rPr>
              <w:t xml:space="preserve"> (reducerer GFR), </w:t>
            </w:r>
            <w:proofErr w:type="spellStart"/>
            <w:r w:rsidRPr="00EA769A">
              <w:rPr>
                <w:sz w:val="24"/>
                <w:szCs w:val="24"/>
              </w:rPr>
              <w:t>nefrotoksiner</w:t>
            </w:r>
            <w:proofErr w:type="spellEnd"/>
            <w:r w:rsidRPr="00EA769A">
              <w:rPr>
                <w:sz w:val="24"/>
                <w:szCs w:val="24"/>
              </w:rPr>
              <w:t>, infektioner og fysisk skade</w:t>
            </w:r>
          </w:p>
          <w:p w14:paraId="7B546D93" w14:textId="77777777" w:rsidR="00EA769A" w:rsidRDefault="00EA769A" w:rsidP="00EA769A">
            <w:pPr>
              <w:pStyle w:val="Listeafsnit"/>
              <w:numPr>
                <w:ilvl w:val="0"/>
                <w:numId w:val="3"/>
              </w:numPr>
              <w:spacing w:after="0" w:line="240" w:lineRule="auto"/>
            </w:pPr>
            <w:r w:rsidRPr="00EA769A">
              <w:rPr>
                <w:sz w:val="24"/>
                <w:szCs w:val="24"/>
              </w:rPr>
              <w:t>nedsat blodgennemstrømning af nyrerne pga. fx obstruktion (nyresten, tumor, blodprop), kraftigt blodtab, hjertesvigt</w:t>
            </w:r>
          </w:p>
        </w:tc>
        <w:tc>
          <w:tcPr>
            <w:tcW w:w="3568" w:type="dxa"/>
          </w:tcPr>
          <w:p w14:paraId="70FC8D58" w14:textId="77777777" w:rsidR="00EA769A" w:rsidRPr="00EA769A" w:rsidRDefault="00EA769A" w:rsidP="00F35BB7">
            <w:r w:rsidRPr="00EA769A">
              <w:t>Mange årsager:</w:t>
            </w:r>
          </w:p>
          <w:p w14:paraId="23C76D5E" w14:textId="77777777" w:rsidR="00EA769A" w:rsidRPr="00EA769A" w:rsidRDefault="00EA769A" w:rsidP="00EA769A">
            <w:pPr>
              <w:pStyle w:val="Listeafsnit"/>
              <w:numPr>
                <w:ilvl w:val="0"/>
                <w:numId w:val="3"/>
              </w:numPr>
              <w:spacing w:after="0" w:line="240" w:lineRule="auto"/>
              <w:rPr>
                <w:sz w:val="24"/>
                <w:szCs w:val="24"/>
              </w:rPr>
            </w:pPr>
            <w:r w:rsidRPr="00EA769A">
              <w:rPr>
                <w:sz w:val="24"/>
                <w:szCs w:val="24"/>
              </w:rPr>
              <w:t xml:space="preserve">kronisk nyresygdom som fx bilateral </w:t>
            </w:r>
            <w:proofErr w:type="spellStart"/>
            <w:r w:rsidRPr="00EA769A">
              <w:rPr>
                <w:sz w:val="24"/>
                <w:szCs w:val="24"/>
              </w:rPr>
              <w:t>pyelonefritis</w:t>
            </w:r>
            <w:proofErr w:type="spellEnd"/>
          </w:p>
          <w:p w14:paraId="34BB877D" w14:textId="77777777" w:rsidR="00EA769A" w:rsidRPr="00EA769A" w:rsidRDefault="00EA769A" w:rsidP="00EA769A">
            <w:pPr>
              <w:pStyle w:val="Listeafsnit"/>
              <w:numPr>
                <w:ilvl w:val="0"/>
                <w:numId w:val="3"/>
              </w:numPr>
              <w:spacing w:after="0" w:line="240" w:lineRule="auto"/>
              <w:rPr>
                <w:sz w:val="24"/>
                <w:szCs w:val="24"/>
              </w:rPr>
            </w:pPr>
            <w:r w:rsidRPr="00EA769A">
              <w:rPr>
                <w:sz w:val="24"/>
                <w:szCs w:val="24"/>
              </w:rPr>
              <w:t xml:space="preserve">systemiske lidelser som fx </w:t>
            </w:r>
            <w:proofErr w:type="spellStart"/>
            <w:r w:rsidRPr="00EA769A">
              <w:rPr>
                <w:sz w:val="24"/>
                <w:szCs w:val="24"/>
              </w:rPr>
              <w:t>hypertension</w:t>
            </w:r>
            <w:proofErr w:type="spellEnd"/>
            <w:r w:rsidRPr="00EA769A">
              <w:rPr>
                <w:sz w:val="24"/>
                <w:szCs w:val="24"/>
              </w:rPr>
              <w:t xml:space="preserve"> og diabetes</w:t>
            </w:r>
          </w:p>
          <w:p w14:paraId="1949A62C" w14:textId="77777777" w:rsidR="00EA769A" w:rsidRPr="00EA769A" w:rsidRDefault="00EA769A" w:rsidP="00EA769A">
            <w:pPr>
              <w:pStyle w:val="Listeafsnit"/>
              <w:numPr>
                <w:ilvl w:val="0"/>
                <w:numId w:val="3"/>
              </w:numPr>
              <w:spacing w:after="0" w:line="240" w:lineRule="auto"/>
              <w:rPr>
                <w:sz w:val="24"/>
                <w:szCs w:val="24"/>
              </w:rPr>
            </w:pPr>
            <w:r w:rsidRPr="00EA769A">
              <w:rPr>
                <w:sz w:val="24"/>
                <w:szCs w:val="24"/>
              </w:rPr>
              <w:t xml:space="preserve">længerevarende udsættelse for </w:t>
            </w:r>
            <w:proofErr w:type="spellStart"/>
            <w:r w:rsidRPr="00EA769A">
              <w:rPr>
                <w:sz w:val="24"/>
                <w:szCs w:val="24"/>
              </w:rPr>
              <w:t>nefrotoksiner</w:t>
            </w:r>
            <w:proofErr w:type="spellEnd"/>
          </w:p>
        </w:tc>
      </w:tr>
      <w:tr w:rsidR="00EA769A" w14:paraId="5B42F603" w14:textId="77777777" w:rsidTr="00F35BB7">
        <w:tc>
          <w:tcPr>
            <w:tcW w:w="2235" w:type="dxa"/>
          </w:tcPr>
          <w:p w14:paraId="636D4C7C" w14:textId="77777777" w:rsidR="00EA769A" w:rsidRPr="00EC0385" w:rsidRDefault="00EA769A" w:rsidP="00F35BB7">
            <w:pPr>
              <w:rPr>
                <w:b/>
              </w:rPr>
            </w:pPr>
            <w:r>
              <w:rPr>
                <w:b/>
              </w:rPr>
              <w:t>Tegn og symptomer</w:t>
            </w:r>
          </w:p>
        </w:tc>
        <w:tc>
          <w:tcPr>
            <w:tcW w:w="3969" w:type="dxa"/>
          </w:tcPr>
          <w:p w14:paraId="731C1CDE" w14:textId="77777777" w:rsidR="00EA769A" w:rsidRDefault="00EA769A" w:rsidP="00F35BB7">
            <w:proofErr w:type="spellStart"/>
            <w:r>
              <w:t>Oliguri</w:t>
            </w:r>
            <w:proofErr w:type="spellEnd"/>
            <w:r>
              <w:t xml:space="preserve"> (mindsket vandladning) eller </w:t>
            </w:r>
            <w:proofErr w:type="spellStart"/>
            <w:r>
              <w:t>anuri</w:t>
            </w:r>
            <w:proofErr w:type="spellEnd"/>
            <w:r>
              <w:t xml:space="preserve"> (ingen vandladning)</w:t>
            </w:r>
          </w:p>
        </w:tc>
        <w:tc>
          <w:tcPr>
            <w:tcW w:w="3568" w:type="dxa"/>
          </w:tcPr>
          <w:p w14:paraId="188C591A" w14:textId="77777777" w:rsidR="00EA769A" w:rsidRDefault="00EA769A" w:rsidP="00F35BB7">
            <w:r>
              <w:t xml:space="preserve">Asymptotisk indtil højtudviklet tab af </w:t>
            </w:r>
            <w:proofErr w:type="spellStart"/>
            <w:r>
              <w:t>nefroner</w:t>
            </w:r>
            <w:proofErr w:type="spellEnd"/>
            <w:r>
              <w:t xml:space="preserve"> pga. at nyren har en stor reservefunktion.</w:t>
            </w:r>
          </w:p>
        </w:tc>
      </w:tr>
      <w:tr w:rsidR="00EA769A" w14:paraId="2F0D5C39" w14:textId="77777777" w:rsidTr="00F35BB7">
        <w:tc>
          <w:tcPr>
            <w:tcW w:w="2235" w:type="dxa"/>
          </w:tcPr>
          <w:p w14:paraId="32E4BA71" w14:textId="77777777" w:rsidR="00EA769A" w:rsidRPr="00EC0385" w:rsidRDefault="00EA769A" w:rsidP="00F35BB7">
            <w:pPr>
              <w:rPr>
                <w:b/>
              </w:rPr>
            </w:pPr>
            <w:r>
              <w:rPr>
                <w:b/>
              </w:rPr>
              <w:t>Diagnostiske tests</w:t>
            </w:r>
          </w:p>
        </w:tc>
        <w:tc>
          <w:tcPr>
            <w:tcW w:w="3969" w:type="dxa"/>
          </w:tcPr>
          <w:p w14:paraId="0BD1435E" w14:textId="77777777" w:rsidR="00EA769A" w:rsidRDefault="00EA769A" w:rsidP="00F35BB7">
            <w:r>
              <w:t xml:space="preserve">Blodprøver: eleveret serum nitrogen og </w:t>
            </w:r>
            <w:proofErr w:type="spellStart"/>
            <w:r>
              <w:t>kreatinin</w:t>
            </w:r>
            <w:proofErr w:type="spellEnd"/>
            <w:r>
              <w:t xml:space="preserve"> samt metabolisk </w:t>
            </w:r>
            <w:proofErr w:type="spellStart"/>
            <w:r>
              <w:t>acidose</w:t>
            </w:r>
            <w:proofErr w:type="spellEnd"/>
            <w:r>
              <w:t xml:space="preserve"> og </w:t>
            </w:r>
            <w:proofErr w:type="spellStart"/>
            <w:r>
              <w:t>hyperkalæmi</w:t>
            </w:r>
            <w:proofErr w:type="spellEnd"/>
            <w:r>
              <w:t xml:space="preserve"> </w:t>
            </w:r>
            <w:r>
              <w:sym w:font="Wingdings" w:char="F0E0"/>
            </w:r>
            <w:r>
              <w:t xml:space="preserve"> bekræfter svigt ift. fjernelse af affaldsstoffer</w:t>
            </w:r>
          </w:p>
        </w:tc>
        <w:tc>
          <w:tcPr>
            <w:tcW w:w="3568" w:type="dxa"/>
          </w:tcPr>
          <w:p w14:paraId="7612171B" w14:textId="77777777" w:rsidR="00EA769A" w:rsidRDefault="00EA769A" w:rsidP="00F35BB7">
            <w:r>
              <w:t xml:space="preserve">Blodprøve: anæmi, </w:t>
            </w:r>
            <w:proofErr w:type="spellStart"/>
            <w:r>
              <w:t>acidose</w:t>
            </w:r>
            <w:proofErr w:type="spellEnd"/>
            <w:r>
              <w:t xml:space="preserve"> og </w:t>
            </w:r>
            <w:proofErr w:type="spellStart"/>
            <w:r>
              <w:t>azotæmi</w:t>
            </w:r>
            <w:proofErr w:type="spellEnd"/>
            <w:r>
              <w:t xml:space="preserve"> (tilstedeværelsen af nitrogen indikeret af serum </w:t>
            </w:r>
            <w:proofErr w:type="spellStart"/>
            <w:r>
              <w:t>kreatinin</w:t>
            </w:r>
            <w:proofErr w:type="spellEnd"/>
            <w:r>
              <w:t xml:space="preserve"> og </w:t>
            </w:r>
            <w:proofErr w:type="spellStart"/>
            <w:r>
              <w:t>urea</w:t>
            </w:r>
            <w:proofErr w:type="spellEnd"/>
            <w:r>
              <w:t xml:space="preserve"> i blodet)</w:t>
            </w:r>
          </w:p>
        </w:tc>
      </w:tr>
      <w:tr w:rsidR="00EA769A" w14:paraId="183C7F59" w14:textId="77777777" w:rsidTr="00F35BB7">
        <w:tc>
          <w:tcPr>
            <w:tcW w:w="2235" w:type="dxa"/>
          </w:tcPr>
          <w:p w14:paraId="2E97C276" w14:textId="77777777" w:rsidR="00EA769A" w:rsidRPr="00EC0385" w:rsidRDefault="00EA769A" w:rsidP="00F35BB7">
            <w:pPr>
              <w:rPr>
                <w:b/>
              </w:rPr>
            </w:pPr>
            <w:r>
              <w:rPr>
                <w:b/>
              </w:rPr>
              <w:t>Behandling</w:t>
            </w:r>
          </w:p>
        </w:tc>
        <w:tc>
          <w:tcPr>
            <w:tcW w:w="3969" w:type="dxa"/>
          </w:tcPr>
          <w:p w14:paraId="0F0BF4D9" w14:textId="77777777" w:rsidR="00EA769A" w:rsidRDefault="00EA769A" w:rsidP="00F35BB7">
            <w:r>
              <w:t>Primær årsag fjernes hurtigt.</w:t>
            </w:r>
          </w:p>
          <w:p w14:paraId="58BCE35A" w14:textId="77777777" w:rsidR="00EA769A" w:rsidRDefault="00EA769A" w:rsidP="00F35BB7">
            <w:r>
              <w:t>Dialyse kan anvendes under fjernelse af primær årsag.</w:t>
            </w:r>
          </w:p>
        </w:tc>
        <w:tc>
          <w:tcPr>
            <w:tcW w:w="3568" w:type="dxa"/>
          </w:tcPr>
          <w:p w14:paraId="616AC836" w14:textId="77777777" w:rsidR="00EA769A" w:rsidRDefault="00EA769A" w:rsidP="00F35BB7">
            <w:r>
              <w:t>Nyretransplantation nødvendig!</w:t>
            </w:r>
          </w:p>
          <w:p w14:paraId="588FBB9F" w14:textId="77777777" w:rsidR="00EA769A" w:rsidRDefault="00EA769A" w:rsidP="00F35BB7">
            <w:r>
              <w:t>Dialyse.</w:t>
            </w:r>
          </w:p>
          <w:p w14:paraId="1D1DB435" w14:textId="77777777" w:rsidR="00EA769A" w:rsidRDefault="00EA769A" w:rsidP="00F35BB7">
            <w:r>
              <w:t>Evt. blodtryksnedsættende.</w:t>
            </w:r>
          </w:p>
          <w:p w14:paraId="179708E2" w14:textId="77777777" w:rsidR="00EA769A" w:rsidRDefault="00EA769A" w:rsidP="00F35BB7">
            <w:r>
              <w:t>Dosering af medikamenter og indtag af væske, elektrolytter og protein skal kontrolleres nøje pga. nedsat evne til at udskille affaldsstoffer.</w:t>
            </w:r>
          </w:p>
        </w:tc>
      </w:tr>
    </w:tbl>
    <w:p w14:paraId="06216C4C" w14:textId="4A04F7B8" w:rsidR="00A966DA" w:rsidRDefault="00A966DA" w:rsidP="00EA769A">
      <w:pPr>
        <w:ind w:left="-426" w:right="-914"/>
        <w:jc w:val="both"/>
      </w:pPr>
    </w:p>
    <w:p w14:paraId="0E1AA853" w14:textId="486E65A6" w:rsidR="00E61501" w:rsidRDefault="00E61501" w:rsidP="00EA769A">
      <w:pPr>
        <w:ind w:left="-426" w:right="-914"/>
        <w:jc w:val="both"/>
        <w:rPr>
          <w:b/>
        </w:rPr>
      </w:pPr>
      <w:r>
        <w:rPr>
          <w:b/>
        </w:rPr>
        <w:t>Bonusviden:</w:t>
      </w:r>
    </w:p>
    <w:p w14:paraId="2FB8324C" w14:textId="4E16BFCA" w:rsidR="00E61501" w:rsidRDefault="00E61501" w:rsidP="00EA769A">
      <w:pPr>
        <w:ind w:left="-426" w:right="-914"/>
        <w:jc w:val="both"/>
      </w:pPr>
      <w:r>
        <w:t>Der findes to typer dialyse:</w:t>
      </w:r>
    </w:p>
    <w:p w14:paraId="4E3E7B8D" w14:textId="57523FA1" w:rsidR="00E61501" w:rsidRPr="00EA769A" w:rsidRDefault="00B25154" w:rsidP="00EA769A">
      <w:pPr>
        <w:pStyle w:val="Listeafsnit"/>
        <w:numPr>
          <w:ilvl w:val="0"/>
          <w:numId w:val="5"/>
        </w:numPr>
        <w:ind w:right="-914"/>
        <w:jc w:val="both"/>
        <w:rPr>
          <w:sz w:val="24"/>
          <w:szCs w:val="24"/>
        </w:rPr>
      </w:pPr>
      <w:proofErr w:type="spellStart"/>
      <w:r w:rsidRPr="00EA769A">
        <w:rPr>
          <w:sz w:val="24"/>
          <w:szCs w:val="24"/>
        </w:rPr>
        <w:t>Hæmodialyse</w:t>
      </w:r>
      <w:proofErr w:type="spellEnd"/>
      <w:r w:rsidRPr="00EA769A">
        <w:rPr>
          <w:sz w:val="24"/>
          <w:szCs w:val="24"/>
        </w:rPr>
        <w:t xml:space="preserve">: finder sted på et hospital, dialyse center eller derhjemme såfremt man har specielt udstyr og træning her. Under behandlingen bevæges patientens blod fra et kateter i en arterie (ofte i armen) gennem en tube til en maskine hvori der sker en </w:t>
      </w:r>
      <w:proofErr w:type="spellStart"/>
      <w:r w:rsidRPr="00EA769A">
        <w:rPr>
          <w:sz w:val="24"/>
          <w:szCs w:val="24"/>
        </w:rPr>
        <w:t>udveskling</w:t>
      </w:r>
      <w:proofErr w:type="spellEnd"/>
      <w:r w:rsidRPr="00EA769A">
        <w:rPr>
          <w:sz w:val="24"/>
          <w:szCs w:val="24"/>
        </w:rPr>
        <w:t xml:space="preserve"> af affaldsstoffer, væsker og elektrolytter mellem patientens blod og den </w:t>
      </w:r>
      <w:proofErr w:type="spellStart"/>
      <w:r w:rsidRPr="00EA769A">
        <w:rPr>
          <w:sz w:val="24"/>
          <w:szCs w:val="24"/>
        </w:rPr>
        <w:t>dialytiske</w:t>
      </w:r>
      <w:proofErr w:type="spellEnd"/>
      <w:r w:rsidRPr="00EA769A">
        <w:rPr>
          <w:sz w:val="24"/>
          <w:szCs w:val="24"/>
        </w:rPr>
        <w:t xml:space="preserve"> væske. En semipermeabel membran adskiller de to væsker, hhv. patientens blod og den </w:t>
      </w:r>
      <w:proofErr w:type="spellStart"/>
      <w:r w:rsidRPr="00EA769A">
        <w:rPr>
          <w:sz w:val="24"/>
          <w:szCs w:val="24"/>
        </w:rPr>
        <w:t>dialytiske</w:t>
      </w:r>
      <w:proofErr w:type="spellEnd"/>
      <w:r w:rsidRPr="00EA769A">
        <w:rPr>
          <w:sz w:val="24"/>
          <w:szCs w:val="24"/>
        </w:rPr>
        <w:t xml:space="preserve"> væske. Denne semipermeable membran sørger for at blodceller og proteiner forbliver i blodet mens fx affaldsstoffer passerer membranen og ender i den </w:t>
      </w:r>
      <w:proofErr w:type="spellStart"/>
      <w:r w:rsidRPr="00EA769A">
        <w:rPr>
          <w:sz w:val="24"/>
          <w:szCs w:val="24"/>
        </w:rPr>
        <w:t>dialytiske</w:t>
      </w:r>
      <w:proofErr w:type="spellEnd"/>
      <w:r w:rsidRPr="00EA769A">
        <w:rPr>
          <w:sz w:val="24"/>
          <w:szCs w:val="24"/>
        </w:rPr>
        <w:t xml:space="preserve"> væske. Bevægelsen af stoffer er et resultat af </w:t>
      </w:r>
      <w:proofErr w:type="spellStart"/>
      <w:r w:rsidRPr="00EA769A">
        <w:rPr>
          <w:sz w:val="24"/>
          <w:szCs w:val="24"/>
        </w:rPr>
        <w:t>ultrafiltration</w:t>
      </w:r>
      <w:proofErr w:type="spellEnd"/>
      <w:r w:rsidRPr="00EA769A">
        <w:rPr>
          <w:sz w:val="24"/>
          <w:szCs w:val="24"/>
        </w:rPr>
        <w:t>, diffusion og osmose. Behandlingen kræves sædvanligvis 3 gange ugentligt af en varighed på 3-4 timer pr. gang. Ulemperne ved denne metode er at kateteret kan blive inficeret eller der kan dannes blodpropper heri. En anden ulempe er at arterien der udsættes for kateteret kan blive skleroseret hvilket gør at det kan være nødvendigt at finde et nyt sted at indsætte kateteret.</w:t>
      </w:r>
    </w:p>
    <w:p w14:paraId="2E1386F2" w14:textId="29F917A6" w:rsidR="00B25154" w:rsidRPr="00EA769A" w:rsidRDefault="00B25154" w:rsidP="00EA769A">
      <w:pPr>
        <w:pStyle w:val="Listeafsnit"/>
        <w:numPr>
          <w:ilvl w:val="0"/>
          <w:numId w:val="5"/>
        </w:numPr>
        <w:ind w:right="-914"/>
        <w:jc w:val="both"/>
        <w:rPr>
          <w:sz w:val="24"/>
          <w:szCs w:val="24"/>
        </w:rPr>
      </w:pPr>
      <w:proofErr w:type="spellStart"/>
      <w:r w:rsidRPr="00EA769A">
        <w:rPr>
          <w:sz w:val="24"/>
          <w:szCs w:val="24"/>
        </w:rPr>
        <w:t>Peritoneal</w:t>
      </w:r>
      <w:proofErr w:type="spellEnd"/>
      <w:r w:rsidRPr="00EA769A">
        <w:rPr>
          <w:sz w:val="24"/>
          <w:szCs w:val="24"/>
        </w:rPr>
        <w:t xml:space="preserve"> dialyse: </w:t>
      </w:r>
      <w:r w:rsidR="00251C43" w:rsidRPr="00EA769A">
        <w:rPr>
          <w:sz w:val="24"/>
          <w:szCs w:val="24"/>
        </w:rPr>
        <w:t xml:space="preserve">Behandling kan foretages hjemme – evt. mens patienten sover. Et kateter med ind- og udgang er implanteret i </w:t>
      </w:r>
      <w:proofErr w:type="spellStart"/>
      <w:r w:rsidR="00251C43" w:rsidRPr="00EA769A">
        <w:rPr>
          <w:sz w:val="24"/>
          <w:szCs w:val="24"/>
        </w:rPr>
        <w:t>peritoneal</w:t>
      </w:r>
      <w:proofErr w:type="spellEnd"/>
      <w:r w:rsidR="00251C43" w:rsidRPr="00EA769A">
        <w:rPr>
          <w:sz w:val="24"/>
          <w:szCs w:val="24"/>
        </w:rPr>
        <w:t xml:space="preserve"> kaviteten. Dialysevæsken flyder igennem kateteret ind i </w:t>
      </w:r>
      <w:proofErr w:type="spellStart"/>
      <w:r w:rsidR="00251C43" w:rsidRPr="00EA769A">
        <w:rPr>
          <w:sz w:val="24"/>
          <w:szCs w:val="24"/>
        </w:rPr>
        <w:t>peritonealkaviteten</w:t>
      </w:r>
      <w:proofErr w:type="spellEnd"/>
      <w:r w:rsidR="00251C43" w:rsidRPr="00EA769A">
        <w:rPr>
          <w:sz w:val="24"/>
          <w:szCs w:val="24"/>
        </w:rPr>
        <w:t xml:space="preserve"> hvor udveksling ml. blod og dialysevæske forekommer vha. diffusion og osmose. Og kommer vha. tyngdekraften fra kaviteten ind i en beholder. Dette kræver mere tid end </w:t>
      </w:r>
      <w:proofErr w:type="spellStart"/>
      <w:r w:rsidR="00251C43" w:rsidRPr="00EA769A">
        <w:rPr>
          <w:sz w:val="24"/>
          <w:szCs w:val="24"/>
        </w:rPr>
        <w:t>hæmodialyse</w:t>
      </w:r>
      <w:proofErr w:type="spellEnd"/>
      <w:r w:rsidR="00251C43" w:rsidRPr="00EA769A">
        <w:rPr>
          <w:sz w:val="24"/>
          <w:szCs w:val="24"/>
        </w:rPr>
        <w:t xml:space="preserve">. Den </w:t>
      </w:r>
      <w:proofErr w:type="spellStart"/>
      <w:r w:rsidR="00251C43" w:rsidRPr="00EA769A">
        <w:rPr>
          <w:sz w:val="24"/>
          <w:szCs w:val="24"/>
        </w:rPr>
        <w:t>peritoneale</w:t>
      </w:r>
      <w:proofErr w:type="spellEnd"/>
      <w:r w:rsidR="00251C43" w:rsidRPr="00EA769A">
        <w:rPr>
          <w:sz w:val="24"/>
          <w:szCs w:val="24"/>
        </w:rPr>
        <w:t xml:space="preserve"> membran er en semipermeabel membran. Den største komplikation er infektion d</w:t>
      </w:r>
      <w:bookmarkStart w:id="0" w:name="_GoBack"/>
      <w:bookmarkEnd w:id="0"/>
      <w:r w:rsidR="00251C43" w:rsidRPr="00EA769A">
        <w:rPr>
          <w:sz w:val="24"/>
          <w:szCs w:val="24"/>
        </w:rPr>
        <w:t>er resulterer i peritonitis.</w:t>
      </w:r>
    </w:p>
    <w:sectPr w:rsidR="00B25154" w:rsidRPr="00EA769A" w:rsidSect="00EA769A">
      <w:pgSz w:w="11900" w:h="16840"/>
      <w:pgMar w:top="426" w:right="1800" w:bottom="426"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162CDF"/>
    <w:multiLevelType w:val="hybridMultilevel"/>
    <w:tmpl w:val="02CC9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E376BF"/>
    <w:multiLevelType w:val="hybridMultilevel"/>
    <w:tmpl w:val="78BAF964"/>
    <w:lvl w:ilvl="0" w:tplc="F8FA2664">
      <w:start w:val="3"/>
      <w:numFmt w:val="bullet"/>
      <w:lvlText w:val="-"/>
      <w:lvlJc w:val="left"/>
      <w:pPr>
        <w:ind w:left="720" w:hanging="360"/>
      </w:pPr>
      <w:rPr>
        <w:rFonts w:ascii="Cambria" w:eastAsiaTheme="minorEastAsia" w:hAnsi="Cambria"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D03B65"/>
    <w:multiLevelType w:val="hybridMultilevel"/>
    <w:tmpl w:val="5F20EB5E"/>
    <w:lvl w:ilvl="0" w:tplc="76727E08">
      <w:start w:val="17"/>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667F7B"/>
    <w:multiLevelType w:val="hybridMultilevel"/>
    <w:tmpl w:val="0F0ED1E4"/>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4">
    <w:nsid w:val="592A7910"/>
    <w:multiLevelType w:val="hybridMultilevel"/>
    <w:tmpl w:val="03065458"/>
    <w:lvl w:ilvl="0" w:tplc="26A265F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44A"/>
    <w:rsid w:val="00017B7B"/>
    <w:rsid w:val="000F47DF"/>
    <w:rsid w:val="001F3F75"/>
    <w:rsid w:val="00217506"/>
    <w:rsid w:val="00251C43"/>
    <w:rsid w:val="002E5F92"/>
    <w:rsid w:val="00330F6D"/>
    <w:rsid w:val="003E674F"/>
    <w:rsid w:val="00422933"/>
    <w:rsid w:val="00423C6B"/>
    <w:rsid w:val="0043162B"/>
    <w:rsid w:val="005110FB"/>
    <w:rsid w:val="005852EF"/>
    <w:rsid w:val="00634770"/>
    <w:rsid w:val="00664F02"/>
    <w:rsid w:val="00675A1C"/>
    <w:rsid w:val="006F4A3C"/>
    <w:rsid w:val="007477F7"/>
    <w:rsid w:val="007C0A9F"/>
    <w:rsid w:val="00827F88"/>
    <w:rsid w:val="008808C6"/>
    <w:rsid w:val="008B3701"/>
    <w:rsid w:val="009115BF"/>
    <w:rsid w:val="009433AA"/>
    <w:rsid w:val="00953763"/>
    <w:rsid w:val="009F75E7"/>
    <w:rsid w:val="00A966DA"/>
    <w:rsid w:val="00B25154"/>
    <w:rsid w:val="00B4344A"/>
    <w:rsid w:val="00B658EC"/>
    <w:rsid w:val="00BA319B"/>
    <w:rsid w:val="00BA67C8"/>
    <w:rsid w:val="00BB291A"/>
    <w:rsid w:val="00C43B61"/>
    <w:rsid w:val="00CB7DBD"/>
    <w:rsid w:val="00E05366"/>
    <w:rsid w:val="00E61501"/>
    <w:rsid w:val="00E97262"/>
    <w:rsid w:val="00EA769A"/>
    <w:rsid w:val="00EB3B5D"/>
    <w:rsid w:val="00F911AB"/>
    <w:rsid w:val="00F927AE"/>
    <w:rsid w:val="00F93600"/>
    <w:rsid w:val="00F936FE"/>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B763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EA769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Rubrik">
    <w:name w:val="Title"/>
    <w:basedOn w:val="Normal"/>
    <w:next w:val="Normal"/>
    <w:link w:val="RubrikTegn"/>
    <w:uiPriority w:val="10"/>
    <w:qFormat/>
    <w:rsid w:val="00B4344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RubrikTegn">
    <w:name w:val="Rubrik Tegn"/>
    <w:basedOn w:val="Standardskrifttypeiafsnit"/>
    <w:link w:val="Rubrik"/>
    <w:uiPriority w:val="10"/>
    <w:rsid w:val="00B4344A"/>
    <w:rPr>
      <w:rFonts w:asciiTheme="majorHAnsi" w:eastAsiaTheme="majorEastAsia" w:hAnsiTheme="majorHAnsi" w:cstheme="majorBidi"/>
      <w:color w:val="17365D" w:themeColor="text2" w:themeShade="BF"/>
      <w:spacing w:val="5"/>
      <w:kern w:val="28"/>
      <w:sz w:val="52"/>
      <w:szCs w:val="52"/>
    </w:rPr>
  </w:style>
  <w:style w:type="paragraph" w:styleId="Listeafsnit">
    <w:name w:val="List Paragraph"/>
    <w:basedOn w:val="Normal"/>
    <w:uiPriority w:val="34"/>
    <w:qFormat/>
    <w:rsid w:val="00B4344A"/>
    <w:pPr>
      <w:spacing w:after="200" w:line="276" w:lineRule="auto"/>
      <w:ind w:left="720"/>
      <w:contextualSpacing/>
    </w:pPr>
    <w:rPr>
      <w:rFonts w:eastAsiaTheme="minorHAnsi"/>
      <w:sz w:val="22"/>
      <w:szCs w:val="22"/>
    </w:rPr>
  </w:style>
  <w:style w:type="table" w:styleId="Tabelgitter">
    <w:name w:val="Table Grid"/>
    <w:basedOn w:val="Tabel-Normal"/>
    <w:uiPriority w:val="59"/>
    <w:rsid w:val="00EA769A"/>
    <w:rPr>
      <w:lang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verskrift1Tegn">
    <w:name w:val="Overskrift 1 Tegn"/>
    <w:basedOn w:val="Standardskrifttypeiafsnit"/>
    <w:link w:val="Overskrift1"/>
    <w:uiPriority w:val="9"/>
    <w:rsid w:val="00EA769A"/>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EA769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Rubrik">
    <w:name w:val="Title"/>
    <w:basedOn w:val="Normal"/>
    <w:next w:val="Normal"/>
    <w:link w:val="RubrikTegn"/>
    <w:uiPriority w:val="10"/>
    <w:qFormat/>
    <w:rsid w:val="00B4344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RubrikTegn">
    <w:name w:val="Rubrik Tegn"/>
    <w:basedOn w:val="Standardskrifttypeiafsnit"/>
    <w:link w:val="Rubrik"/>
    <w:uiPriority w:val="10"/>
    <w:rsid w:val="00B4344A"/>
    <w:rPr>
      <w:rFonts w:asciiTheme="majorHAnsi" w:eastAsiaTheme="majorEastAsia" w:hAnsiTheme="majorHAnsi" w:cstheme="majorBidi"/>
      <w:color w:val="17365D" w:themeColor="text2" w:themeShade="BF"/>
      <w:spacing w:val="5"/>
      <w:kern w:val="28"/>
      <w:sz w:val="52"/>
      <w:szCs w:val="52"/>
    </w:rPr>
  </w:style>
  <w:style w:type="paragraph" w:styleId="Listeafsnit">
    <w:name w:val="List Paragraph"/>
    <w:basedOn w:val="Normal"/>
    <w:uiPriority w:val="34"/>
    <w:qFormat/>
    <w:rsid w:val="00B4344A"/>
    <w:pPr>
      <w:spacing w:after="200" w:line="276" w:lineRule="auto"/>
      <w:ind w:left="720"/>
      <w:contextualSpacing/>
    </w:pPr>
    <w:rPr>
      <w:rFonts w:eastAsiaTheme="minorHAnsi"/>
      <w:sz w:val="22"/>
      <w:szCs w:val="22"/>
    </w:rPr>
  </w:style>
  <w:style w:type="table" w:styleId="Tabelgitter">
    <w:name w:val="Table Grid"/>
    <w:basedOn w:val="Tabel-Normal"/>
    <w:uiPriority w:val="59"/>
    <w:rsid w:val="00EA769A"/>
    <w:rPr>
      <w:lang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verskrift1Tegn">
    <w:name w:val="Overskrift 1 Tegn"/>
    <w:basedOn w:val="Standardskrifttypeiafsnit"/>
    <w:link w:val="Overskrift1"/>
    <w:uiPriority w:val="9"/>
    <w:rsid w:val="00EA769A"/>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0965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2842</TotalTime>
  <Pages>3</Pages>
  <Words>938</Words>
  <Characters>5723</Characters>
  <Application>Microsoft Macintosh Word</Application>
  <DocSecurity>0</DocSecurity>
  <Lines>47</Lines>
  <Paragraphs>13</Paragraphs>
  <ScaleCrop>false</ScaleCrop>
  <Company/>
  <LinksUpToDate>false</LinksUpToDate>
  <CharactersWithSpaces>6648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mette  Jessen</dc:creator>
  <cp:keywords/>
  <dc:description/>
  <cp:lastModifiedBy>Rikke Hallgren Kaas</cp:lastModifiedBy>
  <cp:revision>34</cp:revision>
  <dcterms:created xsi:type="dcterms:W3CDTF">2014-05-01T08:39:00Z</dcterms:created>
  <dcterms:modified xsi:type="dcterms:W3CDTF">2014-06-12T20:14:00Z</dcterms:modified>
</cp:coreProperties>
</file>